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63F86" w:rsidRDefault="00463F86" w:rsidP="0050198F">
      <w:pPr>
        <w:widowControl/>
        <w:autoSpaceDE w:val="0"/>
        <w:autoSpaceDN w:val="0"/>
        <w:adjustRightInd w:val="0"/>
        <w:jc w:val="both"/>
      </w:pPr>
    </w:p>
    <w:p w:rsidR="00463F86" w:rsidRDefault="00463F86" w:rsidP="0050198F">
      <w:pPr>
        <w:widowControl/>
        <w:autoSpaceDE w:val="0"/>
        <w:autoSpaceDN w:val="0"/>
        <w:adjustRightInd w:val="0"/>
        <w:jc w:val="both"/>
      </w:pPr>
    </w:p>
    <w:p w:rsidR="00463F86" w:rsidRDefault="00463F86" w:rsidP="0050198F">
      <w:pPr>
        <w:widowControl/>
        <w:autoSpaceDE w:val="0"/>
        <w:autoSpaceDN w:val="0"/>
        <w:adjustRightInd w:val="0"/>
        <w:jc w:val="both"/>
      </w:pPr>
    </w:p>
    <w:p w:rsidR="00463F86" w:rsidRDefault="00463F86" w:rsidP="0050198F">
      <w:pPr>
        <w:widowControl/>
        <w:autoSpaceDE w:val="0"/>
        <w:autoSpaceDN w:val="0"/>
        <w:adjustRightInd w:val="0"/>
        <w:jc w:val="both"/>
      </w:pPr>
    </w:p>
    <w:p w:rsidR="00463F86" w:rsidRDefault="00463F86" w:rsidP="0050198F">
      <w:pPr>
        <w:widowControl/>
        <w:autoSpaceDE w:val="0"/>
        <w:autoSpaceDN w:val="0"/>
        <w:adjustRightInd w:val="0"/>
        <w:jc w:val="both"/>
      </w:pPr>
    </w:p>
    <w:p w:rsidR="00463F86" w:rsidRDefault="00463F86" w:rsidP="0050198F">
      <w:pPr>
        <w:widowControl/>
        <w:autoSpaceDE w:val="0"/>
        <w:autoSpaceDN w:val="0"/>
        <w:adjustRightInd w:val="0"/>
        <w:jc w:val="both"/>
      </w:pPr>
    </w:p>
    <w:p w:rsidR="00463F86" w:rsidRDefault="00463F86" w:rsidP="0050198F">
      <w:pPr>
        <w:widowControl/>
        <w:autoSpaceDE w:val="0"/>
        <w:autoSpaceDN w:val="0"/>
        <w:adjustRightInd w:val="0"/>
        <w:jc w:val="both"/>
      </w:pPr>
    </w:p>
    <w:p w:rsidR="00463F86" w:rsidRDefault="00463F86" w:rsidP="0050198F">
      <w:pPr>
        <w:widowControl/>
        <w:autoSpaceDE w:val="0"/>
        <w:autoSpaceDN w:val="0"/>
        <w:adjustRightInd w:val="0"/>
        <w:jc w:val="both"/>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D6038D" w:rsidP="00BA2E20">
      <w:pPr>
        <w:rPr>
          <w:rFonts w:ascii="Arial" w:hAnsi="Arial"/>
          <w:sz w:val="28"/>
          <w:szCs w:val="28"/>
        </w:rPr>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r>
        <w:rPr>
          <w:rFonts w:ascii="Arial" w:hAnsi="Arial"/>
          <w:sz w:val="28"/>
          <w:szCs w:val="28"/>
        </w:rPr>
        <w:t>SZCZEGÓŁOWE SPECYFIKACJE TECHNICZNE</w:t>
      </w: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D6038D" w:rsidP="00D6038D">
      <w:pPr>
        <w:jc w:val="center"/>
        <w:rPr>
          <w:rFonts w:ascii="Arial" w:hAnsi="Arial"/>
          <w:sz w:val="28"/>
          <w:szCs w:val="28"/>
        </w:rPr>
      </w:pPr>
    </w:p>
    <w:p w:rsidR="00D6038D" w:rsidRDefault="00BE383A" w:rsidP="00D6038D">
      <w:pPr>
        <w:jc w:val="center"/>
        <w:rPr>
          <w:rFonts w:ascii="Arial" w:hAnsi="Arial"/>
          <w:sz w:val="28"/>
          <w:szCs w:val="28"/>
        </w:rPr>
      </w:pPr>
      <w:r>
        <w:rPr>
          <w:rFonts w:ascii="Arial" w:hAnsi="Arial"/>
          <w:sz w:val="28"/>
          <w:szCs w:val="28"/>
        </w:rPr>
        <w:t>D – 0</w:t>
      </w:r>
      <w:r w:rsidR="00033955">
        <w:rPr>
          <w:rFonts w:ascii="Arial" w:hAnsi="Arial"/>
          <w:sz w:val="28"/>
          <w:szCs w:val="28"/>
        </w:rPr>
        <w:t>4</w:t>
      </w:r>
      <w:r w:rsidR="00D6038D">
        <w:rPr>
          <w:rFonts w:ascii="Arial" w:hAnsi="Arial"/>
          <w:sz w:val="28"/>
          <w:szCs w:val="28"/>
        </w:rPr>
        <w:t>.</w:t>
      </w:r>
      <w:r w:rsidR="005D283C">
        <w:rPr>
          <w:rFonts w:ascii="Arial" w:hAnsi="Arial"/>
          <w:sz w:val="28"/>
          <w:szCs w:val="28"/>
        </w:rPr>
        <w:t>10</w:t>
      </w:r>
      <w:r w:rsidR="00D6038D">
        <w:rPr>
          <w:rFonts w:ascii="Arial" w:hAnsi="Arial"/>
          <w:sz w:val="28"/>
          <w:szCs w:val="28"/>
        </w:rPr>
        <w:t>.0</w:t>
      </w:r>
      <w:r w:rsidR="00D56900">
        <w:rPr>
          <w:rFonts w:ascii="Arial" w:hAnsi="Arial"/>
          <w:sz w:val="28"/>
          <w:szCs w:val="28"/>
        </w:rPr>
        <w:t>1</w:t>
      </w:r>
    </w:p>
    <w:p w:rsidR="00D6038D" w:rsidRDefault="00D6038D" w:rsidP="00D6038D">
      <w:pPr>
        <w:jc w:val="center"/>
        <w:rPr>
          <w:rFonts w:ascii="Arial" w:hAnsi="Arial"/>
          <w:sz w:val="28"/>
          <w:szCs w:val="28"/>
        </w:rPr>
      </w:pPr>
    </w:p>
    <w:p w:rsidR="00A00C85" w:rsidRDefault="00D56900" w:rsidP="002F01E9">
      <w:pPr>
        <w:jc w:val="center"/>
        <w:rPr>
          <w:rFonts w:ascii="Arial" w:hAnsi="Arial"/>
          <w:b/>
          <w:bCs/>
          <w:sz w:val="28"/>
          <w:szCs w:val="28"/>
        </w:rPr>
      </w:pPr>
      <w:r>
        <w:rPr>
          <w:rFonts w:ascii="Arial" w:hAnsi="Arial"/>
          <w:b/>
          <w:bCs/>
          <w:sz w:val="28"/>
          <w:szCs w:val="28"/>
        </w:rPr>
        <w:t xml:space="preserve">PODBUDOWA </w:t>
      </w:r>
      <w:r w:rsidR="002F01E9">
        <w:rPr>
          <w:rFonts w:ascii="Arial" w:hAnsi="Arial"/>
          <w:b/>
          <w:bCs/>
          <w:sz w:val="28"/>
          <w:szCs w:val="28"/>
        </w:rPr>
        <w:t xml:space="preserve">Z </w:t>
      </w:r>
      <w:r w:rsidR="00A52746">
        <w:rPr>
          <w:rFonts w:ascii="Arial" w:hAnsi="Arial"/>
          <w:b/>
          <w:bCs/>
          <w:sz w:val="28"/>
          <w:szCs w:val="28"/>
        </w:rPr>
        <w:t xml:space="preserve">MIESZANKI MINERALNO </w:t>
      </w:r>
      <w:r w:rsidR="00A00C85">
        <w:rPr>
          <w:rFonts w:ascii="Arial" w:hAnsi="Arial"/>
          <w:b/>
          <w:bCs/>
          <w:sz w:val="28"/>
          <w:szCs w:val="28"/>
        </w:rPr>
        <w:t>-</w:t>
      </w:r>
    </w:p>
    <w:p w:rsidR="00A21240" w:rsidRDefault="00A52746" w:rsidP="002F01E9">
      <w:pPr>
        <w:jc w:val="center"/>
        <w:rPr>
          <w:rFonts w:ascii="Arial" w:hAnsi="Arial"/>
          <w:b/>
          <w:bCs/>
          <w:sz w:val="28"/>
          <w:szCs w:val="28"/>
        </w:rPr>
      </w:pPr>
      <w:r>
        <w:rPr>
          <w:rFonts w:ascii="Arial" w:hAnsi="Arial"/>
          <w:b/>
          <w:bCs/>
          <w:sz w:val="28"/>
          <w:szCs w:val="28"/>
        </w:rPr>
        <w:t xml:space="preserve">CEMENTOWO - </w:t>
      </w:r>
      <w:r w:rsidR="00A00C85">
        <w:rPr>
          <w:rFonts w:ascii="Arial" w:hAnsi="Arial"/>
          <w:b/>
          <w:bCs/>
          <w:sz w:val="28"/>
          <w:szCs w:val="28"/>
        </w:rPr>
        <w:t>EMULSYJNEJ</w:t>
      </w:r>
    </w:p>
    <w:p w:rsidR="002F01E9" w:rsidRDefault="002F01E9" w:rsidP="002F01E9">
      <w:pPr>
        <w:jc w:val="center"/>
        <w:rPr>
          <w:rFonts w:ascii="Arial" w:hAnsi="Arial"/>
          <w:b/>
          <w:bCs/>
          <w:sz w:val="28"/>
          <w:szCs w:val="28"/>
        </w:rPr>
      </w:pPr>
    </w:p>
    <w:p w:rsidR="00D6038D" w:rsidRDefault="00D6038D" w:rsidP="00D6038D">
      <w:pPr>
        <w:jc w:val="center"/>
        <w:rPr>
          <w:rFonts w:ascii="Arial" w:hAnsi="Arial"/>
          <w:b/>
          <w:bCs/>
          <w:sz w:val="28"/>
          <w:szCs w:val="28"/>
        </w:rPr>
      </w:pPr>
    </w:p>
    <w:p w:rsidR="00D6038D" w:rsidRDefault="00D6038D" w:rsidP="00D6038D">
      <w:pPr>
        <w:jc w:val="center"/>
        <w:rPr>
          <w:rFonts w:ascii="Arial" w:hAnsi="Arial"/>
          <w:b/>
          <w:bCs/>
          <w:sz w:val="28"/>
          <w:szCs w:val="28"/>
        </w:rPr>
      </w:pPr>
    </w:p>
    <w:p w:rsidR="00D6038D" w:rsidRDefault="00D6038D" w:rsidP="00D6038D">
      <w:pPr>
        <w:jc w:val="center"/>
        <w:rPr>
          <w:rFonts w:ascii="Arial" w:hAnsi="Arial"/>
          <w:b/>
          <w:bCs/>
          <w:sz w:val="28"/>
          <w:szCs w:val="28"/>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D6038D" w:rsidRDefault="00D6038D" w:rsidP="00D6038D">
      <w:pPr>
        <w:jc w:val="center"/>
        <w:rPr>
          <w:rFonts w:ascii="Arial" w:hAnsi="Arial"/>
          <w:b/>
          <w:bCs/>
          <w:sz w:val="20"/>
          <w:szCs w:val="20"/>
        </w:rPr>
      </w:pPr>
    </w:p>
    <w:p w:rsidR="00BA2E20" w:rsidRDefault="00BA2E20" w:rsidP="00D6038D">
      <w:pPr>
        <w:jc w:val="center"/>
        <w:rPr>
          <w:rFonts w:ascii="Arial" w:hAnsi="Arial"/>
          <w:b/>
          <w:bCs/>
          <w:sz w:val="20"/>
          <w:szCs w:val="20"/>
        </w:rPr>
      </w:pPr>
    </w:p>
    <w:p w:rsidR="00BA2E20" w:rsidRDefault="00BA2E20" w:rsidP="00D6038D">
      <w:pPr>
        <w:jc w:val="center"/>
        <w:rPr>
          <w:rFonts w:ascii="Arial" w:hAnsi="Arial"/>
          <w:b/>
          <w:bCs/>
          <w:sz w:val="20"/>
          <w:szCs w:val="20"/>
        </w:rPr>
      </w:pPr>
    </w:p>
    <w:p w:rsidR="00BA2E20" w:rsidRPr="00A21240" w:rsidRDefault="00BA2E20" w:rsidP="00D6038D">
      <w:pPr>
        <w:jc w:val="center"/>
        <w:rPr>
          <w:rFonts w:ascii="Arial" w:hAnsi="Arial" w:cs="Arial"/>
          <w:b/>
          <w:bCs/>
          <w:sz w:val="20"/>
          <w:szCs w:val="20"/>
        </w:rPr>
      </w:pPr>
    </w:p>
    <w:p w:rsidR="00BA2E20" w:rsidRPr="00A21240" w:rsidRDefault="00BA2E20" w:rsidP="00D6038D">
      <w:pPr>
        <w:jc w:val="center"/>
        <w:rPr>
          <w:rFonts w:ascii="Arial" w:hAnsi="Arial" w:cs="Arial"/>
          <w:b/>
          <w:bCs/>
          <w:sz w:val="20"/>
          <w:szCs w:val="20"/>
        </w:rPr>
      </w:pPr>
    </w:p>
    <w:p w:rsidR="00D6038D" w:rsidRPr="00A21240" w:rsidRDefault="00D6038D" w:rsidP="00D6038D">
      <w:pPr>
        <w:jc w:val="center"/>
        <w:rPr>
          <w:rFonts w:ascii="Arial" w:hAnsi="Arial" w:cs="Arial"/>
          <w:b/>
          <w:bCs/>
          <w:sz w:val="20"/>
          <w:szCs w:val="20"/>
        </w:rPr>
      </w:pPr>
    </w:p>
    <w:p w:rsidR="00D6038D" w:rsidRPr="00A21240" w:rsidRDefault="00D6038D" w:rsidP="00D6038D">
      <w:pPr>
        <w:jc w:val="center"/>
        <w:rPr>
          <w:rFonts w:ascii="Arial" w:hAnsi="Arial" w:cs="Arial"/>
          <w:b/>
          <w:bCs/>
          <w:sz w:val="20"/>
          <w:szCs w:val="20"/>
        </w:rPr>
      </w:pPr>
    </w:p>
    <w:p w:rsidR="00D6038D" w:rsidRPr="00A21240" w:rsidRDefault="00D6038D" w:rsidP="00D6038D">
      <w:pPr>
        <w:jc w:val="center"/>
        <w:rPr>
          <w:rFonts w:ascii="Arial" w:hAnsi="Arial" w:cs="Arial"/>
          <w:b/>
          <w:bCs/>
          <w:sz w:val="20"/>
          <w:szCs w:val="20"/>
        </w:rPr>
      </w:pPr>
    </w:p>
    <w:p w:rsidR="0093338B" w:rsidRPr="00A21240" w:rsidRDefault="0093338B" w:rsidP="00D6038D">
      <w:pPr>
        <w:jc w:val="center"/>
        <w:rPr>
          <w:rFonts w:ascii="Arial" w:hAnsi="Arial" w:cs="Arial"/>
          <w:b/>
          <w:bCs/>
          <w:sz w:val="20"/>
          <w:szCs w:val="20"/>
        </w:rPr>
      </w:pPr>
    </w:p>
    <w:p w:rsidR="0093338B" w:rsidRPr="00A21240" w:rsidRDefault="0093338B" w:rsidP="00D6038D">
      <w:pPr>
        <w:jc w:val="center"/>
        <w:rPr>
          <w:rFonts w:ascii="Arial" w:hAnsi="Arial" w:cs="Arial"/>
          <w:b/>
          <w:bCs/>
          <w:sz w:val="20"/>
          <w:szCs w:val="20"/>
        </w:rPr>
      </w:pPr>
    </w:p>
    <w:p w:rsidR="00D6038D" w:rsidRPr="00A21240" w:rsidRDefault="00D6038D" w:rsidP="00D6038D">
      <w:pPr>
        <w:jc w:val="center"/>
        <w:rPr>
          <w:rFonts w:ascii="Arial" w:hAnsi="Arial" w:cs="Arial"/>
          <w:b/>
          <w:bCs/>
          <w:sz w:val="20"/>
          <w:szCs w:val="20"/>
        </w:rPr>
      </w:pPr>
    </w:p>
    <w:p w:rsidR="0087186E" w:rsidRPr="00A21240" w:rsidRDefault="0087186E" w:rsidP="00D6038D">
      <w:pPr>
        <w:jc w:val="center"/>
        <w:rPr>
          <w:rFonts w:ascii="Arial" w:hAnsi="Arial" w:cs="Arial"/>
          <w:b/>
          <w:bCs/>
          <w:sz w:val="20"/>
          <w:szCs w:val="20"/>
        </w:rPr>
      </w:pPr>
    </w:p>
    <w:p w:rsidR="00D6038D" w:rsidRPr="00A21240" w:rsidRDefault="00D6038D" w:rsidP="00D6038D">
      <w:pPr>
        <w:jc w:val="center"/>
        <w:rPr>
          <w:rFonts w:ascii="Arial" w:hAnsi="Arial" w:cs="Arial"/>
          <w:b/>
          <w:bCs/>
          <w:sz w:val="20"/>
          <w:szCs w:val="20"/>
        </w:rPr>
      </w:pPr>
    </w:p>
    <w:p w:rsidR="009830EC" w:rsidRPr="009830EC" w:rsidRDefault="009830EC" w:rsidP="009830EC">
      <w:pPr>
        <w:pStyle w:val="Akapitzlist"/>
        <w:ind w:left="0"/>
        <w:jc w:val="both"/>
        <w:rPr>
          <w:rFonts w:ascii="Arial" w:hAnsi="Arial" w:cs="Arial"/>
          <w:b/>
          <w:bCs/>
          <w:sz w:val="20"/>
          <w:szCs w:val="20"/>
        </w:rPr>
      </w:pPr>
      <w:bookmarkStart w:id="0" w:name="_Toc404150096"/>
      <w:bookmarkStart w:id="1" w:name="_Toc416830698"/>
      <w:bookmarkStart w:id="2" w:name="_Toc451053276"/>
      <w:bookmarkStart w:id="3" w:name="_Toc498839492"/>
      <w:r w:rsidRPr="009830EC">
        <w:rPr>
          <w:rFonts w:ascii="Arial" w:hAnsi="Arial" w:cs="Arial"/>
          <w:b/>
          <w:bCs/>
          <w:sz w:val="20"/>
          <w:szCs w:val="20"/>
        </w:rPr>
        <w:lastRenderedPageBreak/>
        <w:t>1. WSTĘP</w:t>
      </w:r>
      <w:bookmarkEnd w:id="0"/>
      <w:bookmarkEnd w:id="1"/>
      <w:bookmarkEnd w:id="2"/>
      <w:bookmarkEnd w:id="3"/>
    </w:p>
    <w:p w:rsidR="009830EC" w:rsidRPr="009830EC" w:rsidRDefault="009830EC" w:rsidP="009830EC">
      <w:pPr>
        <w:spacing w:before="119"/>
        <w:jc w:val="both"/>
        <w:outlineLvl w:val="2"/>
        <w:rPr>
          <w:rFonts w:ascii="Arial" w:eastAsia="Times New Roman" w:hAnsi="Arial" w:cs="Arial"/>
          <w:b/>
          <w:bCs/>
          <w:sz w:val="20"/>
          <w:szCs w:val="20"/>
          <w:lang w:eastAsia="en-US"/>
        </w:rPr>
      </w:pPr>
      <w:r w:rsidRPr="009830EC">
        <w:rPr>
          <w:rFonts w:ascii="Arial" w:eastAsia="Times New Roman" w:hAnsi="Arial" w:cs="Arial"/>
          <w:b/>
          <w:bCs/>
          <w:sz w:val="20"/>
          <w:szCs w:val="20"/>
          <w:lang w:eastAsia="en-US"/>
        </w:rPr>
        <w:t>1.1. Przedmiot  ST</w:t>
      </w:r>
    </w:p>
    <w:p w:rsidR="009830EC" w:rsidRPr="009379C4" w:rsidRDefault="009830EC" w:rsidP="009830EC">
      <w:pPr>
        <w:pStyle w:val="Tekstpodstawowy"/>
        <w:keepNext/>
        <w:jc w:val="both"/>
        <w:rPr>
          <w:rFonts w:ascii="Arial" w:hAnsi="Arial" w:cs="Arial"/>
          <w:sz w:val="20"/>
          <w:szCs w:val="20"/>
          <w:lang w:eastAsia="en-US"/>
        </w:rPr>
      </w:pPr>
      <w:r w:rsidRPr="009830EC">
        <w:rPr>
          <w:rFonts w:ascii="Arial" w:hAnsi="Arial" w:cs="Arial"/>
          <w:sz w:val="20"/>
          <w:szCs w:val="20"/>
          <w:lang w:eastAsia="en-US"/>
        </w:rPr>
        <w:t>Przedmiotem niniejszej specyfikacji technicznej (ST) są wymagania ogólne dotyczące wykonania i odbioru robót związanych z wykonaniem warstwy podbudowy z mieszanki mineralno</w:t>
      </w:r>
      <w:r w:rsidR="00060FE0">
        <w:rPr>
          <w:rFonts w:ascii="Arial" w:hAnsi="Arial" w:cs="Arial"/>
          <w:sz w:val="20"/>
          <w:szCs w:val="20"/>
          <w:lang w:eastAsia="en-US"/>
        </w:rPr>
        <w:t xml:space="preserve"> – </w:t>
      </w:r>
      <w:r w:rsidRPr="009830EC">
        <w:rPr>
          <w:rFonts w:ascii="Arial" w:hAnsi="Arial" w:cs="Arial"/>
          <w:sz w:val="20"/>
          <w:szCs w:val="20"/>
          <w:lang w:eastAsia="en-US"/>
        </w:rPr>
        <w:t>cementowo</w:t>
      </w:r>
      <w:r w:rsidR="00060FE0">
        <w:rPr>
          <w:rFonts w:ascii="Arial" w:hAnsi="Arial" w:cs="Arial"/>
          <w:sz w:val="20"/>
          <w:szCs w:val="20"/>
          <w:lang w:eastAsia="en-US"/>
        </w:rPr>
        <w:t xml:space="preserve"> </w:t>
      </w:r>
      <w:r w:rsidRPr="009830EC">
        <w:rPr>
          <w:rFonts w:ascii="Arial" w:hAnsi="Arial" w:cs="Arial"/>
          <w:sz w:val="20"/>
          <w:szCs w:val="20"/>
          <w:lang w:eastAsia="en-US"/>
        </w:rPr>
        <w:t>-</w:t>
      </w:r>
      <w:r w:rsidR="00060FE0">
        <w:rPr>
          <w:rFonts w:ascii="Arial" w:hAnsi="Arial" w:cs="Arial"/>
          <w:sz w:val="20"/>
          <w:szCs w:val="20"/>
          <w:lang w:eastAsia="en-US"/>
        </w:rPr>
        <w:t xml:space="preserve"> </w:t>
      </w:r>
      <w:r w:rsidRPr="009830EC">
        <w:rPr>
          <w:rFonts w:ascii="Arial" w:hAnsi="Arial" w:cs="Arial"/>
          <w:sz w:val="20"/>
          <w:szCs w:val="20"/>
          <w:lang w:eastAsia="en-US"/>
        </w:rPr>
        <w:t>emulsyjnej zwanej dalej mieszanką MCE</w:t>
      </w:r>
      <w:r w:rsidR="00060FE0">
        <w:rPr>
          <w:rFonts w:ascii="Arial" w:hAnsi="Arial" w:cs="Arial"/>
          <w:sz w:val="20"/>
          <w:szCs w:val="20"/>
          <w:lang w:eastAsia="en-US"/>
        </w:rPr>
        <w:t xml:space="preserve"> </w:t>
      </w:r>
      <w:r w:rsidR="002A0020" w:rsidRPr="00384572">
        <w:rPr>
          <w:rFonts w:ascii="Arial" w:hAnsi="Arial" w:cs="Arial"/>
          <w:sz w:val="20"/>
          <w:szCs w:val="20"/>
        </w:rPr>
        <w:t xml:space="preserve">w </w:t>
      </w:r>
      <w:r w:rsidR="000C6515">
        <w:rPr>
          <w:rFonts w:ascii="Arial" w:hAnsi="Arial" w:cs="Arial"/>
          <w:sz w:val="20"/>
          <w:szCs w:val="20"/>
        </w:rPr>
        <w:t>związku z</w:t>
      </w:r>
      <w:r w:rsidR="002A0020" w:rsidRPr="00384572">
        <w:rPr>
          <w:rFonts w:ascii="Arial" w:hAnsi="Arial" w:cs="Arial"/>
          <w:sz w:val="20"/>
          <w:szCs w:val="20"/>
        </w:rPr>
        <w:t xml:space="preserve"> </w:t>
      </w:r>
      <w:r w:rsidR="00CD7D0C">
        <w:rPr>
          <w:rFonts w:ascii="Arial" w:hAnsi="Arial" w:cs="Arial"/>
          <w:sz w:val="20"/>
          <w:szCs w:val="20"/>
        </w:rPr>
        <w:t>rem</w:t>
      </w:r>
      <w:r w:rsidR="00C80FBB">
        <w:rPr>
          <w:rFonts w:ascii="Arial" w:hAnsi="Arial" w:cs="Arial"/>
          <w:sz w:val="20"/>
          <w:szCs w:val="20"/>
        </w:rPr>
        <w:t>ontem pasa gminnej nr 434032P Młodziejewice  - Unia</w:t>
      </w:r>
      <w:r w:rsidR="000C6515">
        <w:rPr>
          <w:rFonts w:ascii="Arial" w:hAnsi="Arial" w:cs="Arial"/>
          <w:spacing w:val="-3"/>
          <w:sz w:val="20"/>
          <w:szCs w:val="20"/>
        </w:rPr>
        <w:t>.</w:t>
      </w:r>
    </w:p>
    <w:p w:rsidR="009830EC" w:rsidRPr="009830EC" w:rsidRDefault="009830EC" w:rsidP="009830EC">
      <w:pPr>
        <w:keepNext/>
        <w:widowControl/>
        <w:spacing w:before="119"/>
        <w:jc w:val="both"/>
        <w:outlineLvl w:val="2"/>
        <w:rPr>
          <w:rFonts w:ascii="Arial" w:eastAsia="Times New Roman" w:hAnsi="Arial" w:cs="Arial"/>
          <w:b/>
          <w:bCs/>
          <w:sz w:val="20"/>
          <w:szCs w:val="20"/>
          <w:lang w:eastAsia="en-US"/>
        </w:rPr>
      </w:pPr>
      <w:r w:rsidRPr="009830EC">
        <w:rPr>
          <w:rFonts w:ascii="Arial" w:eastAsia="Times New Roman" w:hAnsi="Arial" w:cs="Arial"/>
          <w:b/>
          <w:bCs/>
          <w:sz w:val="20"/>
          <w:szCs w:val="20"/>
          <w:lang w:eastAsia="en-US"/>
        </w:rPr>
        <w:t>1.2. Zakres stosowania ST</w:t>
      </w:r>
    </w:p>
    <w:p w:rsidR="009830EC" w:rsidRPr="009830EC" w:rsidRDefault="009830EC" w:rsidP="009830EC">
      <w:pPr>
        <w:pStyle w:val="Standardowytekst"/>
        <w:tabs>
          <w:tab w:val="left" w:pos="357"/>
        </w:tabs>
        <w:rPr>
          <w:rFonts w:ascii="Arial" w:hAnsi="Arial" w:cs="Arial"/>
        </w:rPr>
      </w:pPr>
      <w:r w:rsidRPr="009830EC">
        <w:rPr>
          <w:rFonts w:ascii="Arial" w:hAnsi="Arial" w:cs="Arial"/>
        </w:rPr>
        <w:t>Niniejsza Specyfikacja Techniczna jest stosowana jako dokument kontraktowy przy zlecaniu i realizacji Robót wymienionych w punkcie 1.1.</w:t>
      </w:r>
    </w:p>
    <w:p w:rsidR="009830EC" w:rsidRPr="009830EC" w:rsidRDefault="009830EC" w:rsidP="009830EC">
      <w:pPr>
        <w:pStyle w:val="Nagwek2"/>
        <w:numPr>
          <w:ilvl w:val="0"/>
          <w:numId w:val="0"/>
        </w:numPr>
        <w:jc w:val="both"/>
        <w:rPr>
          <w:rFonts w:ascii="Arial" w:hAnsi="Arial" w:cs="Arial"/>
          <w:sz w:val="20"/>
          <w:szCs w:val="20"/>
        </w:rPr>
      </w:pPr>
      <w:r w:rsidRPr="009830EC">
        <w:rPr>
          <w:rFonts w:ascii="Arial" w:hAnsi="Arial" w:cs="Arial"/>
          <w:sz w:val="20"/>
          <w:szCs w:val="20"/>
        </w:rPr>
        <w:t>1.3. Zakres robót objętych ST</w:t>
      </w:r>
    </w:p>
    <w:p w:rsidR="00060FE0" w:rsidRDefault="009830EC" w:rsidP="009830EC">
      <w:pPr>
        <w:pStyle w:val="Tekstpodstawowy"/>
        <w:keepNext/>
        <w:jc w:val="both"/>
        <w:rPr>
          <w:rFonts w:ascii="Arial" w:hAnsi="Arial" w:cs="Arial"/>
          <w:sz w:val="20"/>
          <w:szCs w:val="20"/>
        </w:rPr>
      </w:pPr>
      <w:r w:rsidRPr="009830EC">
        <w:rPr>
          <w:rFonts w:ascii="Arial" w:hAnsi="Arial" w:cs="Arial"/>
          <w:sz w:val="20"/>
          <w:szCs w:val="20"/>
        </w:rPr>
        <w:t>Ustalenia zawarte w niniejszej specyfikacji dotyczą zasad prowadzenia robót związanych z</w:t>
      </w:r>
      <w:r w:rsidR="00060FE0">
        <w:rPr>
          <w:rFonts w:ascii="Arial" w:hAnsi="Arial" w:cs="Arial"/>
          <w:sz w:val="20"/>
          <w:szCs w:val="20"/>
        </w:rPr>
        <w:t>:</w:t>
      </w:r>
    </w:p>
    <w:p w:rsidR="009379C4" w:rsidRPr="00060FE0" w:rsidRDefault="00C80FBB" w:rsidP="00C80FBB">
      <w:pPr>
        <w:pStyle w:val="Bezodstpw"/>
        <w:numPr>
          <w:ilvl w:val="0"/>
          <w:numId w:val="24"/>
        </w:numPr>
        <w:suppressAutoHyphens w:val="0"/>
        <w:autoSpaceDE w:val="0"/>
        <w:autoSpaceDN w:val="0"/>
        <w:adjustRightInd w:val="0"/>
        <w:spacing w:line="360" w:lineRule="auto"/>
        <w:rPr>
          <w:rFonts w:ascii="Arial" w:hAnsi="Arial" w:cs="Arial"/>
          <w:sz w:val="20"/>
          <w:lang w:val="pl-PL"/>
        </w:rPr>
      </w:pPr>
      <w:r w:rsidRPr="00C80FBB">
        <w:rPr>
          <w:rFonts w:ascii="Arial" w:hAnsi="Arial" w:cs="Arial"/>
          <w:sz w:val="20"/>
          <w:lang w:val="pl-PL"/>
        </w:rPr>
        <w:t>Wykonanie podbudowy za</w:t>
      </w:r>
      <w:r>
        <w:rPr>
          <w:rFonts w:ascii="Arial" w:hAnsi="Arial" w:cs="Arial"/>
          <w:sz w:val="20"/>
          <w:lang w:val="pl-PL"/>
        </w:rPr>
        <w:t>sadniczej jezdni</w:t>
      </w:r>
      <w:r w:rsidRPr="00C80FBB">
        <w:rPr>
          <w:rFonts w:ascii="Arial" w:hAnsi="Arial" w:cs="Arial"/>
          <w:sz w:val="20"/>
          <w:lang w:val="pl-PL"/>
        </w:rPr>
        <w:t xml:space="preserve"> z mieszanki </w:t>
      </w:r>
      <w:proofErr w:type="spellStart"/>
      <w:r w:rsidRPr="00C80FBB">
        <w:rPr>
          <w:rFonts w:ascii="Arial" w:hAnsi="Arial" w:cs="Arial"/>
          <w:sz w:val="20"/>
          <w:lang w:val="pl-PL"/>
        </w:rPr>
        <w:t>mineralno</w:t>
      </w:r>
      <w:proofErr w:type="spellEnd"/>
      <w:r w:rsidRPr="00C80FBB">
        <w:rPr>
          <w:rFonts w:ascii="Arial" w:hAnsi="Arial" w:cs="Arial"/>
          <w:sz w:val="20"/>
          <w:lang w:val="pl-PL"/>
        </w:rPr>
        <w:t xml:space="preserve"> - cementowo - emulsyjnej MCE, z materiałów powstałych podczas rozbiórki istniejącej nawierzchni jezdni oraz </w:t>
      </w:r>
      <w:bookmarkStart w:id="4" w:name="_GoBack"/>
      <w:bookmarkEnd w:id="4"/>
      <w:proofErr w:type="spellStart"/>
      <w:r w:rsidRPr="00C80FBB">
        <w:rPr>
          <w:rFonts w:ascii="Arial" w:hAnsi="Arial" w:cs="Arial"/>
          <w:sz w:val="20"/>
          <w:lang w:val="pl-PL"/>
        </w:rPr>
        <w:t>doziarnieniem</w:t>
      </w:r>
      <w:proofErr w:type="spellEnd"/>
      <w:r w:rsidRPr="00C80FBB">
        <w:rPr>
          <w:rFonts w:ascii="Arial" w:hAnsi="Arial" w:cs="Arial"/>
          <w:sz w:val="20"/>
          <w:lang w:val="pl-PL"/>
        </w:rPr>
        <w:t xml:space="preserve"> gr. </w:t>
      </w:r>
      <w:r w:rsidR="009A6141">
        <w:rPr>
          <w:rFonts w:ascii="Arial" w:hAnsi="Arial" w:cs="Arial"/>
          <w:sz w:val="20"/>
          <w:lang w:val="pl-PL"/>
        </w:rPr>
        <w:t>15</w:t>
      </w:r>
      <w:r w:rsidRPr="00C80FBB">
        <w:rPr>
          <w:rFonts w:ascii="Arial" w:hAnsi="Arial" w:cs="Arial"/>
          <w:sz w:val="20"/>
          <w:lang w:val="pl-PL"/>
        </w:rPr>
        <w:t xml:space="preserve"> cm pod jezdnię</w:t>
      </w:r>
    </w:p>
    <w:p w:rsidR="009830EC" w:rsidRPr="009830EC" w:rsidRDefault="009830EC" w:rsidP="009830EC">
      <w:pPr>
        <w:pStyle w:val="Nagwek2"/>
        <w:numPr>
          <w:ilvl w:val="0"/>
          <w:numId w:val="0"/>
        </w:numPr>
        <w:jc w:val="both"/>
        <w:rPr>
          <w:rFonts w:ascii="Arial" w:hAnsi="Arial" w:cs="Arial"/>
          <w:sz w:val="20"/>
          <w:szCs w:val="20"/>
        </w:rPr>
      </w:pPr>
      <w:r w:rsidRPr="009830EC">
        <w:rPr>
          <w:rFonts w:ascii="Arial" w:hAnsi="Arial" w:cs="Arial"/>
          <w:sz w:val="20"/>
          <w:szCs w:val="20"/>
        </w:rPr>
        <w:t>1.4. Określenia podstawowe</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1.4.1.</w:t>
      </w:r>
      <w:r w:rsidRPr="009830EC">
        <w:rPr>
          <w:rFonts w:ascii="Arial" w:hAnsi="Arial" w:cs="Arial"/>
          <w:sz w:val="20"/>
          <w:szCs w:val="20"/>
        </w:rPr>
        <w:t xml:space="preserve"> Destrukt – materiał mineralno-bitumiczny (tzn. mineralno-asfaltowy, mineralno-smołowy lub mieszany), mineralno-cementowy lub mineralny powstały w wyniku frezowania lub pokruszenia jednej lub kilku warstw konstrukcyjnych nawierzchni.</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1.4.2.</w:t>
      </w:r>
      <w:r w:rsidRPr="009830EC">
        <w:rPr>
          <w:rFonts w:ascii="Arial" w:hAnsi="Arial" w:cs="Arial"/>
          <w:sz w:val="20"/>
          <w:szCs w:val="20"/>
        </w:rPr>
        <w:t xml:space="preserve"> Kruszywo </w:t>
      </w:r>
      <w:proofErr w:type="spellStart"/>
      <w:r w:rsidRPr="009830EC">
        <w:rPr>
          <w:rFonts w:ascii="Arial" w:hAnsi="Arial" w:cs="Arial"/>
          <w:sz w:val="20"/>
          <w:szCs w:val="20"/>
        </w:rPr>
        <w:t>doziarniające</w:t>
      </w:r>
      <w:proofErr w:type="spellEnd"/>
      <w:r w:rsidRPr="009830EC">
        <w:rPr>
          <w:rFonts w:ascii="Arial" w:hAnsi="Arial" w:cs="Arial"/>
          <w:sz w:val="20"/>
          <w:szCs w:val="20"/>
        </w:rPr>
        <w:t xml:space="preserve"> – kruszywo, którego celem jest korekta krzywej uziarnienia destruktu, tak aby wynikowa mieszanka mineralna mieściła się w krzywe graniczne dla mieszanki MCE.</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1.4.3.</w:t>
      </w:r>
      <w:r w:rsidRPr="009830EC">
        <w:rPr>
          <w:rFonts w:ascii="Arial" w:hAnsi="Arial" w:cs="Arial"/>
          <w:sz w:val="20"/>
          <w:szCs w:val="20"/>
        </w:rPr>
        <w:t xml:space="preserve"> Emulsja asfaltowa do mieszanki MCE – emulsja asfaltowa, tak dobrana, aby jej czas rozpadu umożliwił równomierne połączenie wytrąconym asfaltem wszystkich ziaren mieszanki mineralnej oraz ułożenie i zagęszczenie mieszanki w warstwie podbudowy.</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1.4.4.</w:t>
      </w:r>
      <w:r w:rsidRPr="009830EC">
        <w:rPr>
          <w:rFonts w:ascii="Arial" w:hAnsi="Arial" w:cs="Arial"/>
          <w:sz w:val="20"/>
          <w:szCs w:val="20"/>
        </w:rPr>
        <w:t xml:space="preserve"> Cement – spoiwo hydrauliczne, którego dodatek ma regulować czas rozpadu emulsji oraz poprawić parametry wytrzymałościowe mieszanki MCE.</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1.4.5.</w:t>
      </w:r>
      <w:r w:rsidRPr="009830EC">
        <w:rPr>
          <w:rFonts w:ascii="Arial" w:hAnsi="Arial" w:cs="Arial"/>
          <w:sz w:val="20"/>
          <w:szCs w:val="20"/>
        </w:rPr>
        <w:t xml:space="preserve"> Mieszanka MCE – mieszanka mineralno-cementowo-emulsyjna o ciągłym uziarnieniu składająca się z destruktu, kruszywa </w:t>
      </w:r>
      <w:proofErr w:type="spellStart"/>
      <w:r w:rsidRPr="009830EC">
        <w:rPr>
          <w:rFonts w:ascii="Arial" w:hAnsi="Arial" w:cs="Arial"/>
          <w:sz w:val="20"/>
          <w:szCs w:val="20"/>
        </w:rPr>
        <w:t>doziarniającego</w:t>
      </w:r>
      <w:proofErr w:type="spellEnd"/>
      <w:r w:rsidRPr="009830EC">
        <w:rPr>
          <w:rFonts w:ascii="Arial" w:hAnsi="Arial" w:cs="Arial"/>
          <w:sz w:val="20"/>
          <w:szCs w:val="20"/>
        </w:rPr>
        <w:t>, emulsji asfaltowej, cementu oraz wody wytworzona w miejscu wbudowania w procesie nazywanym recyklingiem głębokim na zimno lub w wytwórni stacjonarnej przystosowanej do wytwarzania mieszanek mineralno-cementowo-emulsyjnych.</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1.4.6.</w:t>
      </w:r>
      <w:r w:rsidRPr="009830EC">
        <w:rPr>
          <w:rFonts w:ascii="Arial" w:hAnsi="Arial" w:cs="Arial"/>
          <w:sz w:val="20"/>
          <w:szCs w:val="20"/>
        </w:rPr>
        <w:t xml:space="preserve"> Podbudowa z MCE – podbudowa zasadnicza wykonana z mieszanki mineralno-cementowo-emulsyjnej (MCE).</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1.4.7.</w:t>
      </w:r>
      <w:r w:rsidRPr="009830EC">
        <w:rPr>
          <w:rFonts w:ascii="Arial" w:hAnsi="Arial" w:cs="Arial"/>
          <w:sz w:val="20"/>
          <w:szCs w:val="20"/>
        </w:rPr>
        <w:t xml:space="preserve"> Wzajemna tolerancja środków wiążących – tolerancja emulsji asfaltowej z cementem ze względu na rozpad emulsji oraz wiązanie spoiw hydraulicznych.</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1.4.8.</w:t>
      </w:r>
      <w:r w:rsidRPr="009830EC">
        <w:rPr>
          <w:rFonts w:ascii="Arial" w:hAnsi="Arial" w:cs="Arial"/>
          <w:sz w:val="20"/>
          <w:szCs w:val="20"/>
        </w:rPr>
        <w:t xml:space="preserve"> Próbka destruktu – próbka materiału uzyskana przez frezowanie z reprezentatywnej powierzchni i głębokości warstwy lub pobrana z hałdy w sposób reprezentatywny dla całej hałdy.</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1.4.9.</w:t>
      </w:r>
      <w:r w:rsidRPr="009830EC">
        <w:rPr>
          <w:rFonts w:ascii="Arial" w:hAnsi="Arial" w:cs="Arial"/>
          <w:sz w:val="20"/>
          <w:szCs w:val="20"/>
        </w:rPr>
        <w:t xml:space="preserve"> Wbudowanie na zimno – proces mieszania i zagęszczania mieszanki MCE, która poprzez rodzaj zastosowanych materiałów wiążących zawierających bitum lub spoiwo hydrauliczne może być wbudowywana w temperaturze otoczenia.</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1.4.10.</w:t>
      </w:r>
      <w:r w:rsidRPr="009830EC">
        <w:rPr>
          <w:rFonts w:ascii="Arial" w:hAnsi="Arial" w:cs="Arial"/>
          <w:sz w:val="20"/>
          <w:szCs w:val="20"/>
        </w:rPr>
        <w:t xml:space="preserve"> Optymalna zawartość płynów – zawartość wody i asfaltu pozwalająca na osiągnięcie maksymalnej gęstości objętościowej w przyjętej metodzie zagęszczania próbek (odpowiednik wilgotności optymalnej gruntów).</w:t>
      </w:r>
    </w:p>
    <w:p w:rsidR="009830EC" w:rsidRPr="009830EC" w:rsidRDefault="009830EC" w:rsidP="009830EC">
      <w:pPr>
        <w:pStyle w:val="Tekstpodstawowy"/>
        <w:jc w:val="both"/>
        <w:rPr>
          <w:rFonts w:ascii="Arial" w:hAnsi="Arial" w:cs="Arial"/>
          <w:sz w:val="20"/>
          <w:szCs w:val="20"/>
        </w:rPr>
      </w:pPr>
      <w:r w:rsidRPr="009830EC">
        <w:rPr>
          <w:rFonts w:ascii="Arial" w:hAnsi="Arial" w:cs="Arial"/>
          <w:b/>
          <w:bCs/>
          <w:sz w:val="20"/>
          <w:szCs w:val="20"/>
        </w:rPr>
        <w:t>1.4.11.</w:t>
      </w:r>
      <w:r w:rsidRPr="009830EC">
        <w:rPr>
          <w:rFonts w:ascii="Arial" w:hAnsi="Arial" w:cs="Arial"/>
          <w:sz w:val="20"/>
          <w:szCs w:val="20"/>
        </w:rPr>
        <w:t xml:space="preserve"> Spoiwo hydrauliczne – Spoiwa które po zmieszaniu z wodą wiążą i twardnieją w wyniku reakcji i procesów hydratacji a po stwardnieniu pozostają wytrzymałe i trwałe także pod wodą.</w:t>
      </w:r>
    </w:p>
    <w:p w:rsidR="009830EC" w:rsidRPr="009830EC" w:rsidRDefault="009830EC" w:rsidP="009830EC">
      <w:pPr>
        <w:pStyle w:val="Nagwek2"/>
        <w:numPr>
          <w:ilvl w:val="0"/>
          <w:numId w:val="0"/>
        </w:numPr>
        <w:jc w:val="both"/>
        <w:rPr>
          <w:rFonts w:ascii="Arial" w:hAnsi="Arial" w:cs="Arial"/>
          <w:sz w:val="20"/>
          <w:szCs w:val="20"/>
        </w:rPr>
      </w:pPr>
      <w:r w:rsidRPr="009830EC">
        <w:rPr>
          <w:rFonts w:ascii="Arial" w:hAnsi="Arial" w:cs="Arial"/>
          <w:sz w:val="20"/>
          <w:szCs w:val="20"/>
        </w:rPr>
        <w:t>1.5. Ogólne wymagania dotyczące robót</w:t>
      </w:r>
    </w:p>
    <w:p w:rsidR="009830EC" w:rsidRDefault="009830EC" w:rsidP="009830EC">
      <w:pPr>
        <w:pStyle w:val="Tekstpodstawowy"/>
        <w:jc w:val="both"/>
        <w:rPr>
          <w:rFonts w:ascii="Arial" w:hAnsi="Arial" w:cs="Arial"/>
          <w:sz w:val="20"/>
          <w:szCs w:val="20"/>
        </w:rPr>
      </w:pPr>
      <w:r w:rsidRPr="009830EC">
        <w:rPr>
          <w:rFonts w:ascii="Arial" w:hAnsi="Arial" w:cs="Arial"/>
          <w:sz w:val="20"/>
          <w:szCs w:val="20"/>
        </w:rPr>
        <w:t>Ogólne wymagania dotyczące robót podano w ST D-M-00.00.00 „Wymagania ogólne” pkt 1.5.</w:t>
      </w:r>
    </w:p>
    <w:p w:rsidR="009838CB" w:rsidRPr="009830EC" w:rsidRDefault="009838CB" w:rsidP="009830EC">
      <w:pPr>
        <w:pStyle w:val="Tekstpodstawowy"/>
        <w:jc w:val="both"/>
        <w:rPr>
          <w:rFonts w:ascii="Arial" w:hAnsi="Arial" w:cs="Arial"/>
          <w:sz w:val="20"/>
          <w:szCs w:val="20"/>
        </w:rPr>
      </w:pPr>
    </w:p>
    <w:p w:rsidR="009830EC" w:rsidRPr="009830EC" w:rsidRDefault="009830EC" w:rsidP="009830EC">
      <w:pPr>
        <w:pStyle w:val="Nagwek2"/>
        <w:numPr>
          <w:ilvl w:val="0"/>
          <w:numId w:val="0"/>
        </w:numPr>
        <w:jc w:val="both"/>
        <w:rPr>
          <w:rFonts w:ascii="Arial" w:hAnsi="Arial" w:cs="Arial"/>
          <w:sz w:val="20"/>
          <w:szCs w:val="20"/>
        </w:rPr>
      </w:pPr>
      <w:bookmarkStart w:id="5" w:name="_Toc451053277"/>
      <w:bookmarkStart w:id="6" w:name="_Toc498839493"/>
      <w:r w:rsidRPr="009830EC">
        <w:rPr>
          <w:rFonts w:ascii="Arial" w:hAnsi="Arial" w:cs="Arial"/>
          <w:sz w:val="20"/>
          <w:szCs w:val="20"/>
        </w:rPr>
        <w:t>2 .MATERIAŁY</w:t>
      </w:r>
      <w:bookmarkEnd w:id="5"/>
      <w:bookmarkEnd w:id="6"/>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Do wytwarzania mieszanek mineralno-cementowo-emulsyjnych należy stosować następujące materiały wyjściowe:</w:t>
      </w:r>
    </w:p>
    <w:p w:rsidR="009830EC" w:rsidRPr="00060FE0" w:rsidRDefault="009830EC" w:rsidP="00CC6A1B">
      <w:pPr>
        <w:pStyle w:val="Bezodstpw"/>
        <w:numPr>
          <w:ilvl w:val="0"/>
          <w:numId w:val="24"/>
        </w:numPr>
        <w:suppressAutoHyphens w:val="0"/>
        <w:autoSpaceDE w:val="0"/>
        <w:autoSpaceDN w:val="0"/>
        <w:adjustRightInd w:val="0"/>
        <w:spacing w:line="360" w:lineRule="auto"/>
        <w:rPr>
          <w:rFonts w:ascii="Arial" w:hAnsi="Arial" w:cs="Arial"/>
          <w:sz w:val="20"/>
          <w:lang w:val="pl-PL"/>
        </w:rPr>
      </w:pPr>
      <w:r w:rsidRPr="00060FE0">
        <w:rPr>
          <w:rFonts w:ascii="Arial" w:hAnsi="Arial" w:cs="Arial"/>
          <w:sz w:val="20"/>
          <w:lang w:val="pl-PL"/>
        </w:rPr>
        <w:lastRenderedPageBreak/>
        <w:t>destrukt,</w:t>
      </w:r>
    </w:p>
    <w:p w:rsidR="009830EC" w:rsidRPr="00060FE0" w:rsidRDefault="009830EC" w:rsidP="00CC6A1B">
      <w:pPr>
        <w:pStyle w:val="Bezodstpw"/>
        <w:numPr>
          <w:ilvl w:val="0"/>
          <w:numId w:val="24"/>
        </w:numPr>
        <w:suppressAutoHyphens w:val="0"/>
        <w:autoSpaceDE w:val="0"/>
        <w:autoSpaceDN w:val="0"/>
        <w:adjustRightInd w:val="0"/>
        <w:spacing w:line="360" w:lineRule="auto"/>
        <w:rPr>
          <w:rFonts w:ascii="Arial" w:hAnsi="Arial" w:cs="Arial"/>
          <w:sz w:val="20"/>
          <w:lang w:val="pl-PL"/>
        </w:rPr>
      </w:pPr>
      <w:r w:rsidRPr="00060FE0">
        <w:rPr>
          <w:rFonts w:ascii="Arial" w:hAnsi="Arial" w:cs="Arial"/>
          <w:sz w:val="20"/>
          <w:lang w:val="pl-PL"/>
        </w:rPr>
        <w:t xml:space="preserve">kruszywo </w:t>
      </w:r>
      <w:proofErr w:type="spellStart"/>
      <w:r w:rsidRPr="00060FE0">
        <w:rPr>
          <w:rFonts w:ascii="Arial" w:hAnsi="Arial" w:cs="Arial"/>
          <w:sz w:val="20"/>
          <w:lang w:val="pl-PL"/>
        </w:rPr>
        <w:t>doziarniające</w:t>
      </w:r>
      <w:proofErr w:type="spellEnd"/>
      <w:r w:rsidRPr="00060FE0">
        <w:rPr>
          <w:rFonts w:ascii="Arial" w:hAnsi="Arial" w:cs="Arial"/>
          <w:sz w:val="20"/>
          <w:lang w:val="pl-PL"/>
        </w:rPr>
        <w:t>,</w:t>
      </w:r>
    </w:p>
    <w:p w:rsidR="009830EC" w:rsidRPr="00060FE0" w:rsidRDefault="009830EC" w:rsidP="00CC6A1B">
      <w:pPr>
        <w:pStyle w:val="Bezodstpw"/>
        <w:numPr>
          <w:ilvl w:val="0"/>
          <w:numId w:val="24"/>
        </w:numPr>
        <w:suppressAutoHyphens w:val="0"/>
        <w:autoSpaceDE w:val="0"/>
        <w:autoSpaceDN w:val="0"/>
        <w:adjustRightInd w:val="0"/>
        <w:spacing w:line="360" w:lineRule="auto"/>
        <w:rPr>
          <w:rFonts w:ascii="Arial" w:hAnsi="Arial" w:cs="Arial"/>
          <w:sz w:val="20"/>
          <w:lang w:val="pl-PL"/>
        </w:rPr>
      </w:pPr>
      <w:r w:rsidRPr="00060FE0">
        <w:rPr>
          <w:rFonts w:ascii="Arial" w:hAnsi="Arial" w:cs="Arial"/>
          <w:sz w:val="20"/>
          <w:lang w:val="pl-PL"/>
        </w:rPr>
        <w:t>spoiwa hydrauliczne,</w:t>
      </w:r>
    </w:p>
    <w:p w:rsidR="009830EC" w:rsidRPr="00060FE0" w:rsidRDefault="009830EC" w:rsidP="00CC6A1B">
      <w:pPr>
        <w:pStyle w:val="Bezodstpw"/>
        <w:numPr>
          <w:ilvl w:val="0"/>
          <w:numId w:val="24"/>
        </w:numPr>
        <w:suppressAutoHyphens w:val="0"/>
        <w:autoSpaceDE w:val="0"/>
        <w:autoSpaceDN w:val="0"/>
        <w:adjustRightInd w:val="0"/>
        <w:spacing w:line="360" w:lineRule="auto"/>
        <w:rPr>
          <w:rFonts w:ascii="Arial" w:hAnsi="Arial" w:cs="Arial"/>
          <w:sz w:val="20"/>
          <w:lang w:val="pl-PL"/>
        </w:rPr>
      </w:pPr>
      <w:r w:rsidRPr="00060FE0">
        <w:rPr>
          <w:rFonts w:ascii="Arial" w:hAnsi="Arial" w:cs="Arial"/>
          <w:sz w:val="20"/>
          <w:lang w:val="pl-PL"/>
        </w:rPr>
        <w:t>emulsję asfaltową,</w:t>
      </w:r>
    </w:p>
    <w:p w:rsidR="009830EC" w:rsidRPr="00060FE0" w:rsidRDefault="009830EC" w:rsidP="00CC6A1B">
      <w:pPr>
        <w:pStyle w:val="Bezodstpw"/>
        <w:numPr>
          <w:ilvl w:val="0"/>
          <w:numId w:val="24"/>
        </w:numPr>
        <w:suppressAutoHyphens w:val="0"/>
        <w:autoSpaceDE w:val="0"/>
        <w:autoSpaceDN w:val="0"/>
        <w:adjustRightInd w:val="0"/>
        <w:spacing w:line="360" w:lineRule="auto"/>
        <w:rPr>
          <w:rFonts w:ascii="Arial" w:hAnsi="Arial" w:cs="Arial"/>
          <w:sz w:val="20"/>
          <w:lang w:val="pl-PL"/>
        </w:rPr>
      </w:pPr>
      <w:r w:rsidRPr="00060FE0">
        <w:rPr>
          <w:rFonts w:ascii="Arial" w:hAnsi="Arial" w:cs="Arial"/>
          <w:sz w:val="20"/>
          <w:lang w:val="pl-PL"/>
        </w:rPr>
        <w:t>wodę.</w:t>
      </w:r>
    </w:p>
    <w:p w:rsidR="009830EC" w:rsidRPr="009830EC" w:rsidRDefault="009830EC" w:rsidP="009830EC">
      <w:pPr>
        <w:pStyle w:val="Tekstpodstawowy"/>
        <w:jc w:val="both"/>
        <w:rPr>
          <w:rFonts w:ascii="Arial" w:hAnsi="Arial" w:cs="Arial"/>
          <w:b/>
          <w:bCs/>
          <w:sz w:val="20"/>
          <w:szCs w:val="20"/>
        </w:rPr>
      </w:pPr>
      <w:r w:rsidRPr="009830EC">
        <w:rPr>
          <w:rFonts w:ascii="Arial" w:hAnsi="Arial" w:cs="Arial"/>
          <w:b/>
          <w:bCs/>
          <w:sz w:val="20"/>
          <w:szCs w:val="20"/>
        </w:rPr>
        <w:t>2.1 Destrukt</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Destrukt, czyli materiał powstały w wyniku frezowania lub pokruszenia jednej lub kilku warstw konstrukcyjnych nawierzchni w temperaturze otoczenia powinien charakteryzować się ciągłym uziarnieniem i spełniać następujące wymagania:</w:t>
      </w:r>
    </w:p>
    <w:p w:rsidR="009830EC" w:rsidRPr="009830EC" w:rsidRDefault="009830EC" w:rsidP="00CC6A1B">
      <w:pPr>
        <w:pStyle w:val="Tekstpodstawowy"/>
        <w:widowControl/>
        <w:numPr>
          <w:ilvl w:val="0"/>
          <w:numId w:val="23"/>
        </w:numPr>
        <w:spacing w:before="120" w:after="0"/>
        <w:jc w:val="both"/>
        <w:rPr>
          <w:rFonts w:ascii="Arial" w:hAnsi="Arial" w:cs="Arial"/>
          <w:sz w:val="20"/>
          <w:szCs w:val="20"/>
        </w:rPr>
      </w:pPr>
      <w:r w:rsidRPr="009830EC">
        <w:rPr>
          <w:rFonts w:ascii="Arial" w:hAnsi="Arial" w:cs="Arial"/>
          <w:sz w:val="20"/>
          <w:szCs w:val="20"/>
        </w:rPr>
        <w:t>zawartość nadziarna od 31,5 do 63 mm do 20 %,</w:t>
      </w:r>
    </w:p>
    <w:p w:rsidR="009830EC" w:rsidRPr="009830EC" w:rsidRDefault="009830EC" w:rsidP="00CC6A1B">
      <w:pPr>
        <w:pStyle w:val="Tekstpodstawowy"/>
        <w:widowControl/>
        <w:numPr>
          <w:ilvl w:val="0"/>
          <w:numId w:val="23"/>
        </w:numPr>
        <w:spacing w:before="120" w:after="0"/>
        <w:jc w:val="both"/>
        <w:rPr>
          <w:rFonts w:ascii="Arial" w:hAnsi="Arial" w:cs="Arial"/>
          <w:sz w:val="20"/>
          <w:szCs w:val="20"/>
        </w:rPr>
      </w:pPr>
      <w:r w:rsidRPr="009830EC">
        <w:rPr>
          <w:rFonts w:ascii="Arial" w:hAnsi="Arial" w:cs="Arial"/>
          <w:sz w:val="20"/>
          <w:szCs w:val="20"/>
        </w:rPr>
        <w:t>zawartość ziaren mniejszych od 31,5mm do 100 %,</w:t>
      </w:r>
    </w:p>
    <w:p w:rsidR="009830EC" w:rsidRPr="009830EC" w:rsidRDefault="009830EC" w:rsidP="00CC6A1B">
      <w:pPr>
        <w:pStyle w:val="Tekstpodstawowy"/>
        <w:widowControl/>
        <w:numPr>
          <w:ilvl w:val="0"/>
          <w:numId w:val="23"/>
        </w:numPr>
        <w:spacing w:before="120" w:after="0"/>
        <w:jc w:val="both"/>
        <w:rPr>
          <w:rFonts w:ascii="Arial" w:hAnsi="Arial" w:cs="Arial"/>
          <w:sz w:val="20"/>
          <w:szCs w:val="20"/>
        </w:rPr>
      </w:pPr>
      <w:r w:rsidRPr="009830EC">
        <w:rPr>
          <w:rFonts w:ascii="Arial" w:hAnsi="Arial" w:cs="Arial"/>
          <w:sz w:val="20"/>
          <w:szCs w:val="20"/>
        </w:rPr>
        <w:t>zawartość ziaren mniejszych od 0,063 mm do 5 %.</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Destrukt nie powinien zawierać zanieczyszczeń obcych ani organicznych.</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Dopuszczalny poziom zanieczyszczeń jest następujący:</w:t>
      </w:r>
    </w:p>
    <w:p w:rsidR="009830EC" w:rsidRPr="009830EC" w:rsidRDefault="009830EC" w:rsidP="00CC6A1B">
      <w:pPr>
        <w:pStyle w:val="Tekstpodstawowy"/>
        <w:widowControl/>
        <w:numPr>
          <w:ilvl w:val="0"/>
          <w:numId w:val="22"/>
        </w:numPr>
        <w:spacing w:before="120" w:after="0"/>
        <w:jc w:val="both"/>
        <w:rPr>
          <w:rFonts w:ascii="Arial" w:hAnsi="Arial" w:cs="Arial"/>
          <w:sz w:val="20"/>
          <w:szCs w:val="20"/>
        </w:rPr>
      </w:pPr>
      <w:r w:rsidRPr="009830EC">
        <w:rPr>
          <w:rFonts w:ascii="Arial" w:hAnsi="Arial" w:cs="Arial"/>
          <w:sz w:val="20"/>
          <w:szCs w:val="20"/>
        </w:rPr>
        <w:t>zanieczyszczenia organiczne, ocena wizualna brak zanieczyszczeń,</w:t>
      </w:r>
    </w:p>
    <w:p w:rsidR="009830EC" w:rsidRPr="009830EC" w:rsidRDefault="009830EC" w:rsidP="00CC6A1B">
      <w:pPr>
        <w:pStyle w:val="Tekstpodstawowy"/>
        <w:widowControl/>
        <w:numPr>
          <w:ilvl w:val="0"/>
          <w:numId w:val="22"/>
        </w:numPr>
        <w:spacing w:before="120" w:after="0"/>
        <w:jc w:val="both"/>
        <w:rPr>
          <w:rFonts w:ascii="Arial" w:hAnsi="Arial" w:cs="Arial"/>
          <w:sz w:val="20"/>
          <w:szCs w:val="20"/>
        </w:rPr>
      </w:pPr>
      <w:r w:rsidRPr="009830EC">
        <w:rPr>
          <w:rFonts w:ascii="Arial" w:hAnsi="Arial" w:cs="Arial"/>
          <w:sz w:val="20"/>
          <w:szCs w:val="20"/>
        </w:rPr>
        <w:t>zanieczyszczenia obce wg PN-EN 933-11 „Badania geometrycznych właściwości kruszyw. Część 11: Klasyfikacja składników kruszywa grubego z recyklingu”, Σ (Rb, Rg, X)≤ 1 % m/m.</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Dodatkowo dla destruktu należy określić, w celach informacyjnych:</w:t>
      </w:r>
    </w:p>
    <w:p w:rsidR="009830EC" w:rsidRPr="009830EC" w:rsidRDefault="009830EC" w:rsidP="00CC6A1B">
      <w:pPr>
        <w:pStyle w:val="Tekstpodstawowy"/>
        <w:widowControl/>
        <w:numPr>
          <w:ilvl w:val="0"/>
          <w:numId w:val="21"/>
        </w:numPr>
        <w:spacing w:before="120" w:after="0"/>
        <w:jc w:val="both"/>
        <w:rPr>
          <w:rFonts w:ascii="Arial" w:hAnsi="Arial" w:cs="Arial"/>
          <w:sz w:val="20"/>
          <w:szCs w:val="20"/>
        </w:rPr>
      </w:pPr>
      <w:r w:rsidRPr="009830EC">
        <w:rPr>
          <w:rFonts w:ascii="Arial" w:hAnsi="Arial" w:cs="Arial"/>
          <w:sz w:val="20"/>
          <w:szCs w:val="20"/>
        </w:rPr>
        <w:t>rodzaj lepiszcza w destrukcie (smoła, asfalt). Oznaczenie rodzaju lepiszcza należy przeprowadzić przy wykorzystaniu specjalistycznego preparatu do wykrywania wielopierścieniowych węglowodorów aromatycznych w formie sprayu oraz lampy ultrafioletowej. Procedurę postepowania przedstawiono w opracowaniu „Zalecenia bezpiecznego stosowania destruktu asfaltowego ze smołą w warstwach wykonanych w technologii MCE”. W szczególnych przypadkach można to zrobić organoleptycznie lub na podstawie oceny wizualnej.</w:t>
      </w:r>
    </w:p>
    <w:p w:rsidR="009830EC" w:rsidRPr="009830EC" w:rsidRDefault="009830EC" w:rsidP="00CC6A1B">
      <w:pPr>
        <w:pStyle w:val="Tekstpodstawowy"/>
        <w:widowControl/>
        <w:numPr>
          <w:ilvl w:val="0"/>
          <w:numId w:val="21"/>
        </w:numPr>
        <w:spacing w:before="120" w:after="0"/>
        <w:jc w:val="both"/>
        <w:rPr>
          <w:rFonts w:ascii="Arial" w:hAnsi="Arial" w:cs="Arial"/>
          <w:sz w:val="20"/>
          <w:szCs w:val="20"/>
        </w:rPr>
      </w:pPr>
      <w:r w:rsidRPr="009830EC">
        <w:rPr>
          <w:rFonts w:ascii="Arial" w:hAnsi="Arial" w:cs="Arial"/>
          <w:sz w:val="20"/>
          <w:szCs w:val="20"/>
        </w:rPr>
        <w:t>stosunek materiału związanego do niezwiązanego, ocenę przeprowadza się wizualnie z dokładnością do 10 %.</w:t>
      </w:r>
    </w:p>
    <w:p w:rsidR="009830EC" w:rsidRPr="009830EC" w:rsidRDefault="009830EC" w:rsidP="009830EC">
      <w:pPr>
        <w:pStyle w:val="Tekstpodstawowy"/>
        <w:jc w:val="both"/>
        <w:rPr>
          <w:rFonts w:ascii="Arial" w:hAnsi="Arial" w:cs="Arial"/>
          <w:b/>
          <w:bCs/>
          <w:sz w:val="20"/>
          <w:szCs w:val="20"/>
        </w:rPr>
      </w:pPr>
      <w:r w:rsidRPr="009830EC">
        <w:rPr>
          <w:rFonts w:ascii="Arial" w:hAnsi="Arial" w:cs="Arial"/>
          <w:b/>
          <w:bCs/>
          <w:sz w:val="20"/>
          <w:szCs w:val="20"/>
        </w:rPr>
        <w:t xml:space="preserve">2.2. Kruszywo </w:t>
      </w:r>
      <w:proofErr w:type="spellStart"/>
      <w:r w:rsidRPr="009830EC">
        <w:rPr>
          <w:rFonts w:ascii="Arial" w:hAnsi="Arial" w:cs="Arial"/>
          <w:b/>
          <w:bCs/>
          <w:sz w:val="20"/>
          <w:szCs w:val="20"/>
        </w:rPr>
        <w:t>doziarniające</w:t>
      </w:r>
      <w:proofErr w:type="spellEnd"/>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 xml:space="preserve">Kruszywo </w:t>
      </w:r>
      <w:proofErr w:type="spellStart"/>
      <w:r w:rsidRPr="009830EC">
        <w:rPr>
          <w:rFonts w:ascii="Arial" w:hAnsi="Arial" w:cs="Arial"/>
          <w:sz w:val="20"/>
          <w:szCs w:val="20"/>
        </w:rPr>
        <w:t>doziarniające</w:t>
      </w:r>
      <w:proofErr w:type="spellEnd"/>
      <w:r w:rsidRPr="009830EC">
        <w:rPr>
          <w:rFonts w:ascii="Arial" w:hAnsi="Arial" w:cs="Arial"/>
          <w:sz w:val="20"/>
          <w:szCs w:val="20"/>
        </w:rPr>
        <w:t xml:space="preserve"> do mieszanki mineralno-cementowo-emulsyjnej powinno spełniać wymagania normy PN-EN 13242 „Kruszywa do niezwiązanych i związanych hydraulicznie materiałów stosowanych w obiektach budowlanych i budownictwie drogowym”.</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Dopuszczone jest stosowanie kruszywa drobnego, kruszywa grubego oraz kruszywa o ciągłym uziarnieniu. Wymagania dla kruszyw podano w tablicy 1.</w:t>
      </w:r>
    </w:p>
    <w:p w:rsidR="009830EC" w:rsidRPr="009830EC" w:rsidRDefault="009830EC" w:rsidP="009830EC">
      <w:pPr>
        <w:pStyle w:val="Tekstpodstawowy"/>
        <w:jc w:val="both"/>
        <w:rPr>
          <w:rFonts w:ascii="Arial" w:hAnsi="Arial" w:cs="Arial"/>
          <w:sz w:val="20"/>
          <w:szCs w:val="20"/>
        </w:rPr>
      </w:pPr>
    </w:p>
    <w:p w:rsidR="009830EC" w:rsidRPr="009830EC" w:rsidRDefault="009830EC" w:rsidP="009830EC">
      <w:pPr>
        <w:pStyle w:val="Tekstpodstawowy"/>
        <w:jc w:val="both"/>
        <w:rPr>
          <w:rFonts w:ascii="Arial" w:hAnsi="Arial" w:cs="Arial"/>
          <w:sz w:val="20"/>
          <w:szCs w:val="20"/>
        </w:rPr>
      </w:pPr>
    </w:p>
    <w:p w:rsidR="009830EC" w:rsidRPr="009830EC" w:rsidRDefault="009830EC" w:rsidP="009830EC">
      <w:pPr>
        <w:pStyle w:val="Tekstpodstawowy"/>
        <w:jc w:val="both"/>
        <w:rPr>
          <w:rFonts w:ascii="Arial" w:hAnsi="Arial" w:cs="Arial"/>
          <w:sz w:val="20"/>
          <w:szCs w:val="20"/>
        </w:rPr>
      </w:pPr>
    </w:p>
    <w:p w:rsidR="009830EC" w:rsidRDefault="009830EC" w:rsidP="009830EC">
      <w:pPr>
        <w:pStyle w:val="Tekstpodstawowy"/>
        <w:jc w:val="both"/>
        <w:rPr>
          <w:rFonts w:ascii="Arial" w:hAnsi="Arial" w:cs="Arial"/>
          <w:sz w:val="20"/>
          <w:szCs w:val="20"/>
        </w:rPr>
      </w:pPr>
    </w:p>
    <w:p w:rsidR="009838CB" w:rsidRDefault="009838CB" w:rsidP="009830EC">
      <w:pPr>
        <w:pStyle w:val="Tekstpodstawowy"/>
        <w:jc w:val="both"/>
        <w:rPr>
          <w:rFonts w:ascii="Arial" w:hAnsi="Arial" w:cs="Arial"/>
          <w:sz w:val="20"/>
          <w:szCs w:val="20"/>
        </w:rPr>
      </w:pPr>
    </w:p>
    <w:p w:rsidR="009838CB" w:rsidRDefault="009838CB" w:rsidP="009830EC">
      <w:pPr>
        <w:pStyle w:val="Tekstpodstawowy"/>
        <w:jc w:val="both"/>
        <w:rPr>
          <w:rFonts w:ascii="Arial" w:hAnsi="Arial" w:cs="Arial"/>
          <w:sz w:val="20"/>
          <w:szCs w:val="20"/>
        </w:rPr>
      </w:pPr>
    </w:p>
    <w:p w:rsidR="009838CB" w:rsidRDefault="009838CB" w:rsidP="009830EC">
      <w:pPr>
        <w:pStyle w:val="Tekstpodstawowy"/>
        <w:jc w:val="both"/>
        <w:rPr>
          <w:rFonts w:ascii="Arial" w:hAnsi="Arial" w:cs="Arial"/>
          <w:sz w:val="20"/>
          <w:szCs w:val="20"/>
        </w:rPr>
      </w:pPr>
    </w:p>
    <w:p w:rsidR="009838CB" w:rsidRDefault="009838CB" w:rsidP="009830EC">
      <w:pPr>
        <w:pStyle w:val="Tekstpodstawowy"/>
        <w:jc w:val="both"/>
        <w:rPr>
          <w:rFonts w:ascii="Arial" w:hAnsi="Arial" w:cs="Arial"/>
          <w:sz w:val="20"/>
          <w:szCs w:val="20"/>
        </w:rPr>
      </w:pPr>
    </w:p>
    <w:p w:rsidR="009838CB" w:rsidRDefault="009838CB" w:rsidP="009830EC">
      <w:pPr>
        <w:pStyle w:val="Tekstpodstawowy"/>
        <w:jc w:val="both"/>
        <w:rPr>
          <w:rFonts w:ascii="Arial" w:hAnsi="Arial" w:cs="Arial"/>
          <w:sz w:val="20"/>
          <w:szCs w:val="20"/>
        </w:rPr>
      </w:pPr>
    </w:p>
    <w:p w:rsidR="004D5123" w:rsidRDefault="004D5123" w:rsidP="009830EC">
      <w:pPr>
        <w:pStyle w:val="Tekstpodstawowy"/>
        <w:jc w:val="both"/>
        <w:rPr>
          <w:rFonts w:ascii="Arial" w:hAnsi="Arial" w:cs="Arial"/>
          <w:sz w:val="20"/>
          <w:szCs w:val="20"/>
        </w:rPr>
      </w:pPr>
    </w:p>
    <w:p w:rsidR="004D5123" w:rsidRDefault="004D5123" w:rsidP="009830EC">
      <w:pPr>
        <w:pStyle w:val="Tekstpodstawowy"/>
        <w:jc w:val="both"/>
        <w:rPr>
          <w:rFonts w:ascii="Arial" w:hAnsi="Arial" w:cs="Arial"/>
          <w:sz w:val="20"/>
          <w:szCs w:val="20"/>
        </w:rPr>
      </w:pPr>
    </w:p>
    <w:p w:rsidR="004D5123" w:rsidRDefault="004D5123" w:rsidP="009830EC">
      <w:pPr>
        <w:pStyle w:val="Tekstpodstawowy"/>
        <w:jc w:val="both"/>
        <w:rPr>
          <w:rFonts w:ascii="Arial" w:hAnsi="Arial" w:cs="Arial"/>
          <w:sz w:val="20"/>
          <w:szCs w:val="20"/>
        </w:rPr>
      </w:pPr>
    </w:p>
    <w:p w:rsidR="009838CB" w:rsidRPr="009830EC" w:rsidRDefault="009838CB" w:rsidP="009830EC">
      <w:pPr>
        <w:pStyle w:val="Tekstpodstawowy"/>
        <w:jc w:val="both"/>
        <w:rPr>
          <w:rFonts w:ascii="Arial" w:hAnsi="Arial" w:cs="Arial"/>
          <w:sz w:val="20"/>
          <w:szCs w:val="20"/>
        </w:rPr>
      </w:pP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sz w:val="20"/>
          <w:szCs w:val="20"/>
          <w:lang w:eastAsia="en-US"/>
        </w:rPr>
        <w:lastRenderedPageBreak/>
        <w:t>Tablica 1. Wymagania dla kruszyw przeznaczonych do warstwy z mieszanki MCE</w:t>
      </w: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noProof/>
          <w:sz w:val="20"/>
          <w:szCs w:val="20"/>
        </w:rPr>
        <w:drawing>
          <wp:inline distT="0" distB="0" distL="0" distR="0">
            <wp:extent cx="5759450" cy="6198235"/>
            <wp:effectExtent l="0" t="0" r="0" b="0"/>
            <wp:docPr id="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6198235"/>
                    </a:xfrm>
                    <a:prstGeom prst="rect">
                      <a:avLst/>
                    </a:prstGeom>
                    <a:noFill/>
                    <a:ln>
                      <a:noFill/>
                    </a:ln>
                  </pic:spPr>
                </pic:pic>
              </a:graphicData>
            </a:graphic>
          </wp:inline>
        </w:drawing>
      </w:r>
    </w:p>
    <w:p w:rsidR="009830EC" w:rsidRPr="009830EC" w:rsidRDefault="009830EC" w:rsidP="009830EC">
      <w:pPr>
        <w:pStyle w:val="Tekstpodstawowy"/>
        <w:jc w:val="both"/>
        <w:rPr>
          <w:rFonts w:ascii="Arial" w:hAnsi="Arial" w:cs="Arial"/>
          <w:b/>
          <w:bCs/>
          <w:sz w:val="20"/>
          <w:szCs w:val="20"/>
        </w:rPr>
      </w:pPr>
      <w:r w:rsidRPr="009830EC">
        <w:rPr>
          <w:rFonts w:ascii="Arial" w:hAnsi="Arial" w:cs="Arial"/>
          <w:b/>
          <w:bCs/>
          <w:sz w:val="20"/>
          <w:szCs w:val="20"/>
        </w:rPr>
        <w:t>2.3. Emulsja asfaltowa</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Należy stosować emulację kationową przeznaczoną do mieszanek mineralno-cementowo-emulsyjnych C60B10 ZM/R według PN-EN 13808 „Asfalty i lepiszcza asfaltowe. Zasady klasyfikacji kationowych emulsji asfaltowych”. Zaleca się, aby emulsja spełniała dodatkowo następujące warunki:</w:t>
      </w:r>
    </w:p>
    <w:p w:rsidR="009830EC" w:rsidRPr="009830EC" w:rsidRDefault="009830EC" w:rsidP="00CC6A1B">
      <w:pPr>
        <w:pStyle w:val="Tekstpodstawowy"/>
        <w:widowControl/>
        <w:numPr>
          <w:ilvl w:val="0"/>
          <w:numId w:val="18"/>
        </w:numPr>
        <w:spacing w:before="120" w:after="0"/>
        <w:jc w:val="both"/>
        <w:rPr>
          <w:rFonts w:ascii="Arial" w:hAnsi="Arial" w:cs="Arial"/>
          <w:sz w:val="20"/>
          <w:szCs w:val="20"/>
        </w:rPr>
      </w:pPr>
      <w:r w:rsidRPr="009830EC">
        <w:rPr>
          <w:rFonts w:ascii="Arial" w:hAnsi="Arial" w:cs="Arial"/>
          <w:sz w:val="20"/>
          <w:szCs w:val="20"/>
        </w:rPr>
        <w:t>rodzaj asfaltu: 50/70 lub 70/100 wg PN-EN 12591 „Asfalty i lepiszcza asfaltowe. Wymagania dla asfaltów drogowych”,</w:t>
      </w:r>
    </w:p>
    <w:p w:rsidR="009830EC" w:rsidRPr="009830EC" w:rsidRDefault="009830EC" w:rsidP="00CC6A1B">
      <w:pPr>
        <w:pStyle w:val="Tekstpodstawowy"/>
        <w:widowControl/>
        <w:numPr>
          <w:ilvl w:val="0"/>
          <w:numId w:val="18"/>
        </w:numPr>
        <w:spacing w:before="120" w:after="0"/>
        <w:jc w:val="both"/>
        <w:rPr>
          <w:rFonts w:ascii="Arial" w:hAnsi="Arial" w:cs="Arial"/>
          <w:sz w:val="20"/>
          <w:szCs w:val="20"/>
        </w:rPr>
      </w:pPr>
      <w:r w:rsidRPr="009830EC">
        <w:rPr>
          <w:rFonts w:ascii="Arial" w:hAnsi="Arial" w:cs="Arial"/>
          <w:sz w:val="20"/>
          <w:szCs w:val="20"/>
        </w:rPr>
        <w:t>brak rozpuszczalników i topników,</w:t>
      </w:r>
    </w:p>
    <w:p w:rsidR="009830EC" w:rsidRPr="009830EC" w:rsidRDefault="009830EC" w:rsidP="00CC6A1B">
      <w:pPr>
        <w:pStyle w:val="Tekstpodstawowy"/>
        <w:widowControl/>
        <w:numPr>
          <w:ilvl w:val="0"/>
          <w:numId w:val="18"/>
        </w:numPr>
        <w:spacing w:before="120" w:after="0"/>
        <w:jc w:val="both"/>
        <w:rPr>
          <w:rFonts w:ascii="Arial" w:hAnsi="Arial" w:cs="Arial"/>
          <w:sz w:val="20"/>
          <w:szCs w:val="20"/>
        </w:rPr>
      </w:pPr>
      <w:r w:rsidRPr="009830EC">
        <w:rPr>
          <w:rFonts w:ascii="Arial" w:hAnsi="Arial" w:cs="Arial"/>
          <w:sz w:val="20"/>
          <w:szCs w:val="20"/>
        </w:rPr>
        <w:t>emulsja powinna charakteryzować się dobrą tolerancją ze spoiwem.</w:t>
      </w:r>
    </w:p>
    <w:p w:rsidR="009830EC" w:rsidRPr="009830EC" w:rsidRDefault="009830EC" w:rsidP="009830EC">
      <w:pPr>
        <w:pStyle w:val="Tekstpodstawowy"/>
        <w:jc w:val="both"/>
        <w:rPr>
          <w:rFonts w:ascii="Arial" w:hAnsi="Arial" w:cs="Arial"/>
          <w:b/>
          <w:bCs/>
          <w:sz w:val="20"/>
          <w:szCs w:val="20"/>
        </w:rPr>
      </w:pPr>
      <w:r w:rsidRPr="009830EC">
        <w:rPr>
          <w:rFonts w:ascii="Arial" w:hAnsi="Arial" w:cs="Arial"/>
          <w:b/>
          <w:bCs/>
          <w:sz w:val="20"/>
          <w:szCs w:val="20"/>
        </w:rPr>
        <w:t>2.4. Spoiwa hydrauliczne</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Należy stosować cement powszechnego użytku spełniający wymagania PN-EN 197-1 „Cement. Część 1. Skład, wymagania i kryteria zgodności dotyczące cementów powszechnego użytku”.</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Stosowanie innych spoiw hydraulicznych jest dopuszczone, o ile ich korzystne działanie zostało potwierdzone na etapie wykonywania recepty laboratoryjnej oraz potwierdzone w trakcie wykonania odcinka próbnego.</w:t>
      </w:r>
    </w:p>
    <w:p w:rsidR="009830EC" w:rsidRPr="009830EC" w:rsidRDefault="009830EC" w:rsidP="009830EC">
      <w:pPr>
        <w:pStyle w:val="Tekstpodstawowy"/>
        <w:jc w:val="both"/>
        <w:rPr>
          <w:rFonts w:ascii="Arial" w:hAnsi="Arial" w:cs="Arial"/>
          <w:b/>
          <w:bCs/>
          <w:sz w:val="20"/>
          <w:szCs w:val="20"/>
        </w:rPr>
      </w:pPr>
      <w:r w:rsidRPr="009830EC">
        <w:rPr>
          <w:rFonts w:ascii="Arial" w:hAnsi="Arial" w:cs="Arial"/>
          <w:b/>
          <w:bCs/>
          <w:sz w:val="20"/>
          <w:szCs w:val="20"/>
        </w:rPr>
        <w:lastRenderedPageBreak/>
        <w:t>2.5. Woda</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Należy stosować wodę spełniającą wymagania PN-EN-1008 „Woda zarobowa do betonu. Specyfikacja pobierania próbek, badania i ocena przydatności wody zarobowej do betonu w tym wody odzyskanej z procesów produkcji betonu”.</w:t>
      </w:r>
    </w:p>
    <w:p w:rsidR="009830EC" w:rsidRDefault="009830EC" w:rsidP="009830EC">
      <w:pPr>
        <w:pStyle w:val="Tekstpodstawowy"/>
        <w:jc w:val="both"/>
        <w:rPr>
          <w:rFonts w:ascii="Arial" w:hAnsi="Arial" w:cs="Arial"/>
          <w:sz w:val="20"/>
          <w:szCs w:val="20"/>
        </w:rPr>
      </w:pPr>
      <w:r w:rsidRPr="009830EC">
        <w:rPr>
          <w:rFonts w:ascii="Arial" w:hAnsi="Arial" w:cs="Arial"/>
          <w:sz w:val="20"/>
          <w:szCs w:val="20"/>
        </w:rPr>
        <w:t>Woda pitna, wodociągowa, może być stosowna bez dodatkowych badań do</w:t>
      </w:r>
      <w:r w:rsidR="009838CB">
        <w:rPr>
          <w:rFonts w:ascii="Arial" w:hAnsi="Arial" w:cs="Arial"/>
          <w:sz w:val="20"/>
          <w:szCs w:val="20"/>
        </w:rPr>
        <w:t xml:space="preserve"> wytworzenia mieszanki mineralno – </w:t>
      </w:r>
      <w:r w:rsidRPr="009830EC">
        <w:rPr>
          <w:rFonts w:ascii="Arial" w:hAnsi="Arial" w:cs="Arial"/>
          <w:sz w:val="20"/>
          <w:szCs w:val="20"/>
        </w:rPr>
        <w:t>cementowo</w:t>
      </w:r>
      <w:r w:rsidR="009838CB">
        <w:rPr>
          <w:rFonts w:ascii="Arial" w:hAnsi="Arial" w:cs="Arial"/>
          <w:sz w:val="20"/>
          <w:szCs w:val="20"/>
        </w:rPr>
        <w:t xml:space="preserve"> </w:t>
      </w:r>
      <w:r w:rsidRPr="009830EC">
        <w:rPr>
          <w:rFonts w:ascii="Arial" w:hAnsi="Arial" w:cs="Arial"/>
          <w:sz w:val="20"/>
          <w:szCs w:val="20"/>
        </w:rPr>
        <w:t>-</w:t>
      </w:r>
      <w:r w:rsidR="009838CB">
        <w:rPr>
          <w:rFonts w:ascii="Arial" w:hAnsi="Arial" w:cs="Arial"/>
          <w:sz w:val="20"/>
          <w:szCs w:val="20"/>
        </w:rPr>
        <w:t xml:space="preserve"> </w:t>
      </w:r>
      <w:r w:rsidRPr="009830EC">
        <w:rPr>
          <w:rFonts w:ascii="Arial" w:hAnsi="Arial" w:cs="Arial"/>
          <w:sz w:val="20"/>
          <w:szCs w:val="20"/>
        </w:rPr>
        <w:t>emulsyjnej.</w:t>
      </w:r>
    </w:p>
    <w:p w:rsidR="00F56D78" w:rsidRPr="009379C4" w:rsidRDefault="00F56D78" w:rsidP="00F56D78">
      <w:pPr>
        <w:pStyle w:val="Tekstpodstawowy"/>
        <w:jc w:val="both"/>
        <w:rPr>
          <w:rFonts w:ascii="Arial" w:hAnsi="Arial" w:cs="Arial"/>
          <w:sz w:val="20"/>
          <w:szCs w:val="20"/>
        </w:rPr>
      </w:pPr>
      <w:r w:rsidRPr="009379C4">
        <w:rPr>
          <w:rFonts w:ascii="Arial" w:hAnsi="Arial" w:cs="Arial"/>
          <w:sz w:val="20"/>
          <w:szCs w:val="20"/>
        </w:rPr>
        <w:t>2.6. W przypadku braku wystarczającej ilości materiałów pozyskanych z rozbiórki</w:t>
      </w:r>
      <w:r w:rsidR="00FD3119" w:rsidRPr="009379C4">
        <w:rPr>
          <w:rFonts w:ascii="Arial" w:hAnsi="Arial" w:cs="Arial"/>
          <w:sz w:val="20"/>
          <w:szCs w:val="20"/>
        </w:rPr>
        <w:t>,</w:t>
      </w:r>
      <w:bookmarkStart w:id="7" w:name="_Toc451053278"/>
      <w:bookmarkStart w:id="8" w:name="_Toc498839494"/>
      <w:r w:rsidRPr="009379C4">
        <w:rPr>
          <w:rFonts w:ascii="Arial" w:hAnsi="Arial" w:cs="Arial"/>
          <w:sz w:val="20"/>
          <w:szCs w:val="20"/>
        </w:rPr>
        <w:t xml:space="preserve"> nadających się i przewidzianych do ponownego wbudowania w warstwę MCE, Wykonawca we własnym zakresie zobowiązany jest do zakupu, dostarczenia i wbudowania brakującej ilości materiału spełniającego wymagania SST.</w:t>
      </w:r>
    </w:p>
    <w:p w:rsidR="00F56D78" w:rsidRDefault="00F56D78" w:rsidP="00F56D78">
      <w:pPr>
        <w:pStyle w:val="Tekstpodstawowy"/>
        <w:jc w:val="both"/>
        <w:rPr>
          <w:rFonts w:ascii="Arial" w:hAnsi="Arial" w:cs="Arial"/>
          <w:sz w:val="20"/>
          <w:szCs w:val="20"/>
        </w:rPr>
      </w:pPr>
      <w:r>
        <w:rPr>
          <w:rFonts w:ascii="Arial" w:hAnsi="Arial" w:cs="Arial"/>
          <w:sz w:val="20"/>
          <w:szCs w:val="20"/>
        </w:rPr>
        <w:t xml:space="preserve"> </w:t>
      </w:r>
    </w:p>
    <w:p w:rsidR="009830EC" w:rsidRPr="00F56D78" w:rsidRDefault="009830EC" w:rsidP="00F56D78">
      <w:pPr>
        <w:pStyle w:val="Tekstpodstawowy"/>
        <w:jc w:val="both"/>
        <w:rPr>
          <w:rFonts w:ascii="Arial" w:hAnsi="Arial" w:cs="Arial"/>
          <w:b/>
          <w:sz w:val="20"/>
          <w:szCs w:val="20"/>
        </w:rPr>
      </w:pPr>
      <w:r w:rsidRPr="00F56D78">
        <w:rPr>
          <w:rFonts w:ascii="Arial" w:hAnsi="Arial" w:cs="Arial"/>
          <w:b/>
          <w:sz w:val="20"/>
          <w:szCs w:val="20"/>
        </w:rPr>
        <w:t>3. SPRZĘT</w:t>
      </w:r>
      <w:bookmarkEnd w:id="7"/>
      <w:bookmarkEnd w:id="8"/>
    </w:p>
    <w:p w:rsidR="009830EC" w:rsidRPr="009830EC" w:rsidRDefault="009830EC" w:rsidP="009830EC">
      <w:pPr>
        <w:jc w:val="both"/>
        <w:rPr>
          <w:rFonts w:ascii="Arial" w:hAnsi="Arial" w:cs="Arial"/>
          <w:sz w:val="20"/>
          <w:szCs w:val="20"/>
        </w:rPr>
      </w:pPr>
      <w:r w:rsidRPr="009830EC">
        <w:rPr>
          <w:rFonts w:ascii="Arial" w:hAnsi="Arial" w:cs="Arial"/>
          <w:sz w:val="20"/>
          <w:szCs w:val="20"/>
        </w:rPr>
        <w:t>Do wytwarzania mieszanki MCE można stosować:</w:t>
      </w:r>
    </w:p>
    <w:p w:rsidR="009830EC" w:rsidRPr="009830EC" w:rsidRDefault="009830EC" w:rsidP="00CC6A1B">
      <w:pPr>
        <w:pStyle w:val="Akapitzlist"/>
        <w:numPr>
          <w:ilvl w:val="0"/>
          <w:numId w:val="20"/>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wytwórnie stacjonarne,</w:t>
      </w:r>
    </w:p>
    <w:p w:rsidR="009830EC" w:rsidRPr="009830EC" w:rsidRDefault="009830EC" w:rsidP="00CC6A1B">
      <w:pPr>
        <w:pStyle w:val="Akapitzlist"/>
        <w:numPr>
          <w:ilvl w:val="0"/>
          <w:numId w:val="20"/>
        </w:numPr>
        <w:suppressAutoHyphens w:val="0"/>
        <w:autoSpaceDE w:val="0"/>
        <w:autoSpaceDN w:val="0"/>
        <w:spacing w:before="120"/>
        <w:contextualSpacing w:val="0"/>
        <w:jc w:val="both"/>
        <w:rPr>
          <w:rFonts w:ascii="Arial" w:hAnsi="Arial" w:cs="Arial"/>
          <w:sz w:val="20"/>
          <w:szCs w:val="20"/>
        </w:rPr>
      </w:pPr>
      <w:proofErr w:type="spellStart"/>
      <w:r w:rsidRPr="009830EC">
        <w:rPr>
          <w:rFonts w:ascii="Arial" w:hAnsi="Arial" w:cs="Arial"/>
          <w:sz w:val="20"/>
          <w:szCs w:val="20"/>
        </w:rPr>
        <w:t>recyklery</w:t>
      </w:r>
      <w:proofErr w:type="spellEnd"/>
      <w:r w:rsidRPr="009830EC">
        <w:rPr>
          <w:rFonts w:ascii="Arial" w:hAnsi="Arial" w:cs="Arial"/>
          <w:sz w:val="20"/>
          <w:szCs w:val="20"/>
        </w:rPr>
        <w:t>,</w:t>
      </w:r>
    </w:p>
    <w:p w:rsidR="009830EC" w:rsidRPr="009830EC" w:rsidRDefault="009830EC" w:rsidP="00CC6A1B">
      <w:pPr>
        <w:pStyle w:val="Akapitzlist"/>
        <w:numPr>
          <w:ilvl w:val="0"/>
          <w:numId w:val="20"/>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zestawy składające się z kilku niezależnych maszyn.</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Wytwórnie stacjonarne stosowane do wytworzenia mieszanki MCE powinny mieć możliwość równoczesnego mieszania destruktu, kruszywa </w:t>
      </w:r>
      <w:proofErr w:type="spellStart"/>
      <w:r w:rsidRPr="009830EC">
        <w:rPr>
          <w:rFonts w:ascii="Arial" w:hAnsi="Arial" w:cs="Arial"/>
          <w:sz w:val="20"/>
          <w:szCs w:val="20"/>
        </w:rPr>
        <w:t>doziarniającego</w:t>
      </w:r>
      <w:proofErr w:type="spellEnd"/>
      <w:r w:rsidRPr="009830EC">
        <w:rPr>
          <w:rFonts w:ascii="Arial" w:hAnsi="Arial" w:cs="Arial"/>
          <w:sz w:val="20"/>
          <w:szCs w:val="20"/>
        </w:rPr>
        <w:t>, emulsji asfaltowej, cementu i wody.</w:t>
      </w:r>
    </w:p>
    <w:p w:rsidR="009830EC" w:rsidRPr="009830EC" w:rsidRDefault="009830EC" w:rsidP="009830EC">
      <w:pPr>
        <w:jc w:val="both"/>
        <w:rPr>
          <w:rFonts w:ascii="Arial" w:hAnsi="Arial" w:cs="Arial"/>
          <w:sz w:val="20"/>
          <w:szCs w:val="20"/>
        </w:rPr>
      </w:pPr>
      <w:proofErr w:type="spellStart"/>
      <w:r w:rsidRPr="009830EC">
        <w:rPr>
          <w:rFonts w:ascii="Arial" w:hAnsi="Arial" w:cs="Arial"/>
          <w:sz w:val="20"/>
          <w:szCs w:val="20"/>
        </w:rPr>
        <w:t>Recyklery</w:t>
      </w:r>
      <w:proofErr w:type="spellEnd"/>
      <w:r w:rsidRPr="009830EC">
        <w:rPr>
          <w:rFonts w:ascii="Arial" w:hAnsi="Arial" w:cs="Arial"/>
          <w:sz w:val="20"/>
          <w:szCs w:val="20"/>
        </w:rPr>
        <w:t>, czyli urządzenia mobilne wyposażone w elementy:</w:t>
      </w:r>
    </w:p>
    <w:p w:rsidR="009830EC" w:rsidRPr="009830EC" w:rsidRDefault="009830EC" w:rsidP="00CC6A1B">
      <w:pPr>
        <w:pStyle w:val="Akapitzlist"/>
        <w:numPr>
          <w:ilvl w:val="0"/>
          <w:numId w:val="1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do frezowania warstw nawierzchni,</w:t>
      </w:r>
    </w:p>
    <w:p w:rsidR="009830EC" w:rsidRPr="009830EC" w:rsidRDefault="009830EC" w:rsidP="00CC6A1B">
      <w:pPr>
        <w:pStyle w:val="Akapitzlist"/>
        <w:numPr>
          <w:ilvl w:val="0"/>
          <w:numId w:val="1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do pobierania destruktu,</w:t>
      </w:r>
    </w:p>
    <w:p w:rsidR="009830EC" w:rsidRPr="009830EC" w:rsidRDefault="009830EC" w:rsidP="00CC6A1B">
      <w:pPr>
        <w:pStyle w:val="Akapitzlist"/>
        <w:numPr>
          <w:ilvl w:val="0"/>
          <w:numId w:val="1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do </w:t>
      </w:r>
      <w:proofErr w:type="spellStart"/>
      <w:r w:rsidRPr="009830EC">
        <w:rPr>
          <w:rFonts w:ascii="Arial" w:hAnsi="Arial" w:cs="Arial"/>
          <w:sz w:val="20"/>
          <w:szCs w:val="20"/>
        </w:rPr>
        <w:t>doziarniania</w:t>
      </w:r>
      <w:proofErr w:type="spellEnd"/>
      <w:r w:rsidRPr="009830EC">
        <w:rPr>
          <w:rFonts w:ascii="Arial" w:hAnsi="Arial" w:cs="Arial"/>
          <w:sz w:val="20"/>
          <w:szCs w:val="20"/>
        </w:rPr>
        <w:t xml:space="preserve"> destruktu,</w:t>
      </w:r>
    </w:p>
    <w:p w:rsidR="009830EC" w:rsidRPr="009830EC" w:rsidRDefault="009830EC" w:rsidP="00CC6A1B">
      <w:pPr>
        <w:pStyle w:val="Akapitzlist"/>
        <w:numPr>
          <w:ilvl w:val="0"/>
          <w:numId w:val="1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do równoczesnego dozowania środków wiążących (emulsji i cementu) oraz wody,</w:t>
      </w:r>
    </w:p>
    <w:p w:rsidR="009830EC" w:rsidRPr="009830EC" w:rsidRDefault="009830EC" w:rsidP="00CC6A1B">
      <w:pPr>
        <w:pStyle w:val="Akapitzlist"/>
        <w:numPr>
          <w:ilvl w:val="0"/>
          <w:numId w:val="1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do mieszania składników mieszanki przy użyciu mieszalnika o wymuszonym mieszaniu,</w:t>
      </w:r>
    </w:p>
    <w:p w:rsidR="009830EC" w:rsidRPr="009830EC" w:rsidRDefault="009830EC" w:rsidP="00CC6A1B">
      <w:pPr>
        <w:pStyle w:val="Akapitzlist"/>
        <w:numPr>
          <w:ilvl w:val="0"/>
          <w:numId w:val="1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do rozkładania i wbudowywania mieszanki MCE.</w:t>
      </w:r>
    </w:p>
    <w:p w:rsidR="009830EC" w:rsidRPr="009830EC" w:rsidRDefault="009830EC" w:rsidP="009830EC">
      <w:pPr>
        <w:jc w:val="both"/>
        <w:rPr>
          <w:rFonts w:ascii="Arial" w:hAnsi="Arial" w:cs="Arial"/>
          <w:sz w:val="20"/>
          <w:szCs w:val="20"/>
        </w:rPr>
      </w:pPr>
      <w:proofErr w:type="spellStart"/>
      <w:r w:rsidRPr="009830EC">
        <w:rPr>
          <w:rFonts w:ascii="Arial" w:hAnsi="Arial" w:cs="Arial"/>
          <w:sz w:val="20"/>
          <w:szCs w:val="20"/>
        </w:rPr>
        <w:t>Recyklery</w:t>
      </w:r>
      <w:proofErr w:type="spellEnd"/>
      <w:r w:rsidRPr="009830EC">
        <w:rPr>
          <w:rFonts w:ascii="Arial" w:hAnsi="Arial" w:cs="Arial"/>
          <w:sz w:val="20"/>
          <w:szCs w:val="20"/>
        </w:rPr>
        <w:t xml:space="preserve"> można stosować do wytworzenia mieszanki mineralno-cementowo-emulsyjnej, o ile wykaże się ich skuteczność na odcinku próbnym i umożliwia to zaprojektowana technologia wykonania robót.</w:t>
      </w:r>
    </w:p>
    <w:p w:rsidR="009830EC" w:rsidRPr="009830EC" w:rsidRDefault="009830EC" w:rsidP="009830EC">
      <w:pPr>
        <w:jc w:val="both"/>
        <w:rPr>
          <w:rFonts w:ascii="Arial" w:hAnsi="Arial" w:cs="Arial"/>
          <w:sz w:val="20"/>
          <w:szCs w:val="20"/>
        </w:rPr>
      </w:pPr>
      <w:r w:rsidRPr="009830EC">
        <w:rPr>
          <w:rFonts w:ascii="Arial" w:hAnsi="Arial" w:cs="Arial"/>
          <w:sz w:val="20"/>
          <w:szCs w:val="20"/>
        </w:rPr>
        <w:t>Do wykonania mieszanki MCE można również stosować zestawy składające się z kilku niezależnych maszyn wykonujących czynności wymagane do prawidłowego przeprowadzenia recyklingu na miejscu, na zimno o ile wykaże się ich skuteczność na odcinku próbnym.</w:t>
      </w:r>
    </w:p>
    <w:p w:rsidR="009830EC" w:rsidRDefault="009830EC" w:rsidP="009830EC">
      <w:pPr>
        <w:jc w:val="both"/>
        <w:rPr>
          <w:rFonts w:ascii="Arial" w:hAnsi="Arial" w:cs="Arial"/>
          <w:sz w:val="20"/>
          <w:szCs w:val="20"/>
        </w:rPr>
      </w:pPr>
      <w:r w:rsidRPr="009830EC">
        <w:rPr>
          <w:rFonts w:ascii="Arial" w:hAnsi="Arial" w:cs="Arial"/>
          <w:sz w:val="20"/>
          <w:szCs w:val="20"/>
        </w:rPr>
        <w:t>Do zagęszczania mieszanki MCE należy stosować jako podstawowe ciężkie walce stalowe, wibracyjne o wadze minimum 14 ton. Dodatkowo można stosować inne walce (np. ogumione, stalowe) w celu nadania efektu końcowego wykonywanej warstwie. Efektywność zagęszczania powinna być sprawdzona na odcinku próbnym, przed przystąpieniem do właściwych prac.</w:t>
      </w:r>
    </w:p>
    <w:p w:rsidR="009838CB" w:rsidRPr="009830EC" w:rsidRDefault="009838CB" w:rsidP="009830EC">
      <w:pPr>
        <w:jc w:val="both"/>
        <w:rPr>
          <w:rFonts w:ascii="Arial" w:hAnsi="Arial" w:cs="Arial"/>
          <w:sz w:val="20"/>
          <w:szCs w:val="20"/>
        </w:rPr>
      </w:pPr>
    </w:p>
    <w:p w:rsidR="009830EC" w:rsidRPr="009830EC" w:rsidRDefault="009830EC" w:rsidP="009830EC">
      <w:pPr>
        <w:pStyle w:val="Nagwek2"/>
        <w:numPr>
          <w:ilvl w:val="0"/>
          <w:numId w:val="0"/>
        </w:numPr>
        <w:jc w:val="both"/>
        <w:rPr>
          <w:rFonts w:ascii="Arial" w:hAnsi="Arial" w:cs="Arial"/>
          <w:sz w:val="20"/>
          <w:szCs w:val="20"/>
        </w:rPr>
      </w:pPr>
      <w:bookmarkStart w:id="9" w:name="_Toc451053279"/>
      <w:bookmarkStart w:id="10" w:name="_Toc498839495"/>
      <w:r w:rsidRPr="009830EC">
        <w:rPr>
          <w:rFonts w:ascii="Arial" w:hAnsi="Arial" w:cs="Arial"/>
          <w:sz w:val="20"/>
          <w:szCs w:val="20"/>
        </w:rPr>
        <w:t>4. TRANSPORT</w:t>
      </w:r>
      <w:bookmarkEnd w:id="9"/>
      <w:bookmarkEnd w:id="10"/>
    </w:p>
    <w:p w:rsidR="009830EC" w:rsidRPr="009830EC" w:rsidRDefault="009830EC" w:rsidP="009830EC">
      <w:pPr>
        <w:pStyle w:val="Nagwek2"/>
        <w:numPr>
          <w:ilvl w:val="0"/>
          <w:numId w:val="0"/>
        </w:numPr>
        <w:jc w:val="both"/>
        <w:rPr>
          <w:rFonts w:ascii="Arial" w:hAnsi="Arial" w:cs="Arial"/>
          <w:sz w:val="20"/>
          <w:szCs w:val="20"/>
        </w:rPr>
      </w:pPr>
      <w:r w:rsidRPr="009830EC">
        <w:rPr>
          <w:rFonts w:ascii="Arial" w:hAnsi="Arial" w:cs="Arial"/>
          <w:sz w:val="20"/>
          <w:szCs w:val="20"/>
        </w:rPr>
        <w:t>4.1.Ogólne wymagania dotyczące transportu</w:t>
      </w:r>
    </w:p>
    <w:p w:rsidR="009830EC" w:rsidRPr="009830EC" w:rsidRDefault="009830EC" w:rsidP="009830EC">
      <w:pPr>
        <w:pStyle w:val="Tekstpodstawowy"/>
        <w:numPr>
          <w:ilvl w:val="12"/>
          <w:numId w:val="0"/>
        </w:numPr>
        <w:jc w:val="both"/>
        <w:rPr>
          <w:rFonts w:ascii="Arial" w:hAnsi="Arial" w:cs="Arial"/>
          <w:sz w:val="20"/>
          <w:szCs w:val="20"/>
        </w:rPr>
      </w:pPr>
      <w:r w:rsidRPr="009830EC">
        <w:rPr>
          <w:rFonts w:ascii="Arial" w:hAnsi="Arial" w:cs="Arial"/>
          <w:sz w:val="20"/>
          <w:szCs w:val="20"/>
        </w:rPr>
        <w:t>Ogólne wymagania dotyczące transportu podano w ST D-M-00.00.00 „Wymagania ogólne” pkt 4.</w:t>
      </w:r>
    </w:p>
    <w:p w:rsidR="009830EC" w:rsidRPr="009830EC" w:rsidRDefault="009830EC" w:rsidP="009830EC">
      <w:pPr>
        <w:pStyle w:val="Nagwek2"/>
        <w:numPr>
          <w:ilvl w:val="0"/>
          <w:numId w:val="0"/>
        </w:numPr>
        <w:jc w:val="both"/>
        <w:rPr>
          <w:rFonts w:ascii="Arial" w:hAnsi="Arial" w:cs="Arial"/>
          <w:sz w:val="20"/>
          <w:szCs w:val="20"/>
        </w:rPr>
      </w:pPr>
      <w:r w:rsidRPr="009830EC">
        <w:rPr>
          <w:rFonts w:ascii="Arial" w:hAnsi="Arial" w:cs="Arial"/>
          <w:sz w:val="20"/>
          <w:szCs w:val="20"/>
        </w:rPr>
        <w:t>4.2 Transport materiałów</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Transport materiałów do wytworzenia mieszanki MCE powinien odbywać się środkami do tego przeznaczonymi, spełniającymi przepisy prawne.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Transport kruszywa i destruktu powinien odbywać się dowolnymi środkami transportu w warunkach zabezpieczających je przed zanieczyszczeniem, wymieszaniem różnych asortymentów i frakcji oraz nadmiernym zawilgoceniem.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Transport emulsji powinien odbywać się w sposób chroniący ją przed zanieczyszczeniem oraz przed utratą właściwości użytkowych. Zaleca się, aby transport emulsji odbywał się w odpowiednich cysternach przystosowanych do przewozu lepiszcza.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Transport cementu powinien odbywać się w sposób chroniący go przed zawilgoceniem, zbryleniem i zanieczyszczeniem. Zaleca się transport cementu luzem w odpowiednich cysternach przystosowanych do przewozu materiałów sypkich. </w:t>
      </w:r>
    </w:p>
    <w:p w:rsidR="009830EC" w:rsidRPr="009830EC" w:rsidRDefault="009830EC" w:rsidP="009830EC">
      <w:pPr>
        <w:jc w:val="both"/>
        <w:rPr>
          <w:rFonts w:ascii="Arial" w:hAnsi="Arial" w:cs="Arial"/>
          <w:sz w:val="20"/>
          <w:szCs w:val="20"/>
        </w:rPr>
      </w:pPr>
      <w:r w:rsidRPr="009830EC">
        <w:rPr>
          <w:rFonts w:ascii="Arial" w:hAnsi="Arial" w:cs="Arial"/>
          <w:sz w:val="20"/>
          <w:szCs w:val="20"/>
        </w:rPr>
        <w:lastRenderedPageBreak/>
        <w:t xml:space="preserve">Do transportu wody należy stosować cysterny samochodowe lub ciągnikowe.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Mieszanka MCE powinna być transportowana samochodami samowyładowczymi, przykryta plandekami w celu ograniczenia utraty wody z mieszanki MCE. </w:t>
      </w:r>
    </w:p>
    <w:p w:rsidR="009830EC" w:rsidRDefault="009830EC" w:rsidP="009830EC">
      <w:pPr>
        <w:jc w:val="both"/>
        <w:rPr>
          <w:rFonts w:ascii="Arial" w:hAnsi="Arial" w:cs="Arial"/>
          <w:sz w:val="20"/>
          <w:szCs w:val="20"/>
        </w:rPr>
      </w:pPr>
      <w:r w:rsidRPr="009830EC">
        <w:rPr>
          <w:rFonts w:ascii="Arial" w:hAnsi="Arial" w:cs="Arial"/>
          <w:sz w:val="20"/>
          <w:szCs w:val="20"/>
        </w:rPr>
        <w:t xml:space="preserve">Czas transportu mieszanki powinien być nie dłuższy niż 2 h. Jest to związane z czasem rozpadu emulsji. Jeżeli wykonawca wykaże, że czas rozpadu emulsji jest dłuższy to można wydłużyć czas transportu mieszanki MCE. </w:t>
      </w:r>
    </w:p>
    <w:p w:rsidR="009838CB" w:rsidRPr="009830EC" w:rsidRDefault="009838CB" w:rsidP="009830EC">
      <w:pPr>
        <w:jc w:val="both"/>
        <w:rPr>
          <w:rFonts w:ascii="Arial" w:hAnsi="Arial" w:cs="Arial"/>
          <w:sz w:val="20"/>
          <w:szCs w:val="20"/>
        </w:rPr>
      </w:pPr>
    </w:p>
    <w:p w:rsidR="009830EC" w:rsidRPr="009830EC" w:rsidRDefault="009830EC" w:rsidP="009830EC">
      <w:pPr>
        <w:pStyle w:val="Akapitzlist"/>
        <w:ind w:left="0"/>
        <w:jc w:val="both"/>
        <w:rPr>
          <w:rFonts w:ascii="Arial" w:hAnsi="Arial" w:cs="Arial"/>
          <w:b/>
          <w:bCs/>
          <w:sz w:val="20"/>
          <w:szCs w:val="20"/>
        </w:rPr>
      </w:pPr>
      <w:bookmarkStart w:id="11" w:name="_Toc451053280"/>
      <w:bookmarkStart w:id="12" w:name="_Toc498839496"/>
      <w:r w:rsidRPr="009830EC">
        <w:rPr>
          <w:rFonts w:ascii="Arial" w:hAnsi="Arial" w:cs="Arial"/>
          <w:b/>
          <w:bCs/>
          <w:sz w:val="20"/>
          <w:szCs w:val="20"/>
        </w:rPr>
        <w:t>5. WYKONANIE ROBÓT</w:t>
      </w:r>
      <w:bookmarkEnd w:id="11"/>
      <w:bookmarkEnd w:id="12"/>
    </w:p>
    <w:p w:rsidR="009830EC" w:rsidRPr="009830EC" w:rsidRDefault="009830EC" w:rsidP="009830EC">
      <w:pPr>
        <w:pStyle w:val="Tekstpodstawowy"/>
        <w:jc w:val="both"/>
        <w:rPr>
          <w:rFonts w:ascii="Arial" w:hAnsi="Arial" w:cs="Arial"/>
          <w:b/>
          <w:sz w:val="20"/>
          <w:szCs w:val="20"/>
        </w:rPr>
      </w:pPr>
      <w:r w:rsidRPr="009830EC">
        <w:rPr>
          <w:rFonts w:ascii="Arial" w:hAnsi="Arial" w:cs="Arial"/>
          <w:b/>
          <w:sz w:val="20"/>
          <w:szCs w:val="20"/>
        </w:rPr>
        <w:t>5.1. Mieszanka mineralna</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Mieszanka mineralna MCE może składać się z destruktu lub destruktu i kruszywa </w:t>
      </w:r>
      <w:proofErr w:type="spellStart"/>
      <w:r w:rsidRPr="009830EC">
        <w:rPr>
          <w:rFonts w:ascii="Arial" w:hAnsi="Arial" w:cs="Arial"/>
          <w:sz w:val="20"/>
          <w:szCs w:val="20"/>
        </w:rPr>
        <w:t>doziarniającego</w:t>
      </w:r>
      <w:proofErr w:type="spellEnd"/>
      <w:r w:rsidRPr="009830EC">
        <w:rPr>
          <w:rFonts w:ascii="Arial" w:hAnsi="Arial" w:cs="Arial"/>
          <w:sz w:val="20"/>
          <w:szCs w:val="20"/>
        </w:rPr>
        <w:t xml:space="preserve">. Uziarnienie mieszanki mineralnej powinno być tak dobrane, aby zapewnić z jednej strony nośny szkielet mineralny, a z drugiej strony odpowiednią urabialność niezbędną dla zapewnienia dobrej </w:t>
      </w:r>
      <w:proofErr w:type="spellStart"/>
      <w:r w:rsidRPr="009830EC">
        <w:rPr>
          <w:rFonts w:ascii="Arial" w:hAnsi="Arial" w:cs="Arial"/>
          <w:sz w:val="20"/>
          <w:szCs w:val="20"/>
        </w:rPr>
        <w:t>zagęszczalności</w:t>
      </w:r>
      <w:proofErr w:type="spellEnd"/>
      <w:r w:rsidRPr="009830EC">
        <w:rPr>
          <w:rFonts w:ascii="Arial" w:hAnsi="Arial" w:cs="Arial"/>
          <w:sz w:val="20"/>
          <w:szCs w:val="20"/>
        </w:rPr>
        <w:t xml:space="preserve"> i utrzymania wymaganego poziomu wolnej przestrzeni w zagęszczonej warstwie.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Materiały powinny spełniać wymagania zawarte w rozdziale 2.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Uziarnienie mieszanki MCE powinno być ciągłe. Maksymalny wymiar ziarna nie powinien być większy niż 31,5 mm, przy czym dopuszcza się do 20 % nadziarna. Uziarnienie mieszanki mineralnej MCE powinno mieścić się w przedziale podanym w tablicy 2 oraz na rysunku 1. Uziarnienie mieszanki mineralnej określa się bez uwzględniania cementu.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Dopuszczalne jest zaprojektowanie mieszanki mineralnej MCE bez kruszywa </w:t>
      </w:r>
      <w:proofErr w:type="spellStart"/>
      <w:r w:rsidRPr="009830EC">
        <w:rPr>
          <w:rFonts w:ascii="Arial" w:hAnsi="Arial" w:cs="Arial"/>
          <w:sz w:val="20"/>
          <w:szCs w:val="20"/>
        </w:rPr>
        <w:t>doziarniającego</w:t>
      </w:r>
      <w:proofErr w:type="spellEnd"/>
      <w:r w:rsidRPr="009830EC">
        <w:rPr>
          <w:rFonts w:ascii="Arial" w:hAnsi="Arial" w:cs="Arial"/>
          <w:sz w:val="20"/>
          <w:szCs w:val="20"/>
        </w:rPr>
        <w:t xml:space="preserve">, o ile osiągnięte zostaną wymagania dotyczące cech fizycznych i mechanicznych. </w:t>
      </w: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sz w:val="20"/>
          <w:szCs w:val="20"/>
          <w:lang w:eastAsia="en-US"/>
        </w:rPr>
        <w:t>Tablica 2. Uziarnienie mieszanki mineralnej MCE</w:t>
      </w:r>
    </w:p>
    <w:p w:rsidR="009830EC" w:rsidRPr="009830EC" w:rsidRDefault="009830EC" w:rsidP="009830EC">
      <w:pPr>
        <w:pStyle w:val="Tekstpodstawowy"/>
        <w:jc w:val="both"/>
        <w:rPr>
          <w:rFonts w:ascii="Arial" w:hAnsi="Arial" w:cs="Arial"/>
          <w:sz w:val="20"/>
          <w:szCs w:val="20"/>
        </w:rPr>
      </w:pPr>
      <w:r w:rsidRPr="009830EC">
        <w:rPr>
          <w:rFonts w:ascii="Arial" w:hAnsi="Arial" w:cs="Arial"/>
          <w:noProof/>
          <w:sz w:val="20"/>
          <w:szCs w:val="20"/>
        </w:rPr>
        <w:drawing>
          <wp:inline distT="0" distB="0" distL="0" distR="0">
            <wp:extent cx="4824484" cy="1989900"/>
            <wp:effectExtent l="0" t="0" r="0" b="0"/>
            <wp:docPr id="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39771" cy="1996205"/>
                    </a:xfrm>
                    <a:prstGeom prst="rect">
                      <a:avLst/>
                    </a:prstGeom>
                    <a:noFill/>
                    <a:ln>
                      <a:noFill/>
                    </a:ln>
                  </pic:spPr>
                </pic:pic>
              </a:graphicData>
            </a:graphic>
          </wp:inline>
        </w:drawing>
      </w:r>
    </w:p>
    <w:p w:rsidR="009830EC" w:rsidRPr="009830EC" w:rsidRDefault="009830EC" w:rsidP="009830EC">
      <w:pPr>
        <w:pStyle w:val="Tekstpodstawowy"/>
        <w:jc w:val="both"/>
        <w:rPr>
          <w:rFonts w:ascii="Arial" w:hAnsi="Arial" w:cs="Arial"/>
          <w:sz w:val="20"/>
          <w:szCs w:val="20"/>
        </w:rPr>
      </w:pPr>
    </w:p>
    <w:p w:rsidR="009830EC" w:rsidRPr="009830EC" w:rsidRDefault="009830EC" w:rsidP="009830EC">
      <w:pPr>
        <w:pStyle w:val="Tekstpodstawowy"/>
        <w:jc w:val="both"/>
        <w:rPr>
          <w:rFonts w:ascii="Arial" w:hAnsi="Arial" w:cs="Arial"/>
          <w:sz w:val="20"/>
          <w:szCs w:val="20"/>
        </w:rPr>
      </w:pPr>
    </w:p>
    <w:p w:rsidR="009830EC" w:rsidRPr="009830EC" w:rsidRDefault="009830EC" w:rsidP="009830EC">
      <w:pPr>
        <w:pStyle w:val="Tekstpodstawowy"/>
        <w:jc w:val="both"/>
        <w:rPr>
          <w:rFonts w:ascii="Arial" w:hAnsi="Arial" w:cs="Arial"/>
          <w:sz w:val="20"/>
          <w:szCs w:val="20"/>
        </w:rPr>
      </w:pPr>
    </w:p>
    <w:p w:rsidR="009830EC" w:rsidRPr="009830EC" w:rsidRDefault="009830EC" w:rsidP="009830EC">
      <w:pPr>
        <w:pStyle w:val="Tekstpodstawowy"/>
        <w:jc w:val="both"/>
        <w:rPr>
          <w:rFonts w:ascii="Arial" w:hAnsi="Arial" w:cs="Arial"/>
          <w:sz w:val="20"/>
          <w:szCs w:val="20"/>
        </w:rPr>
      </w:pPr>
      <w:r w:rsidRPr="009830EC">
        <w:rPr>
          <w:rFonts w:ascii="Arial" w:hAnsi="Arial" w:cs="Arial"/>
          <w:noProof/>
          <w:sz w:val="20"/>
          <w:szCs w:val="20"/>
        </w:rPr>
        <w:lastRenderedPageBreak/>
        <w:drawing>
          <wp:inline distT="0" distB="0" distL="0" distR="0">
            <wp:extent cx="5042848" cy="3149695"/>
            <wp:effectExtent l="0" t="0" r="5715" b="0"/>
            <wp:docPr id="8"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67878" cy="3165328"/>
                    </a:xfrm>
                    <a:prstGeom prst="rect">
                      <a:avLst/>
                    </a:prstGeom>
                    <a:noFill/>
                    <a:ln>
                      <a:noFill/>
                    </a:ln>
                  </pic:spPr>
                </pic:pic>
              </a:graphicData>
            </a:graphic>
          </wp:inline>
        </w:drawing>
      </w: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sz w:val="20"/>
          <w:szCs w:val="20"/>
          <w:lang w:eastAsia="en-US"/>
        </w:rPr>
        <w:t>Rysunek 1. Uziarnienie mieszanki mineralnej MCE, ruch KR1 – KR2</w:t>
      </w: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noProof/>
          <w:sz w:val="20"/>
          <w:szCs w:val="20"/>
        </w:rPr>
        <w:drawing>
          <wp:inline distT="0" distB="0" distL="0" distR="0">
            <wp:extent cx="5246693" cy="3417002"/>
            <wp:effectExtent l="0" t="0" r="0" b="0"/>
            <wp:docPr id="9"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0968" cy="3432812"/>
                    </a:xfrm>
                    <a:prstGeom prst="rect">
                      <a:avLst/>
                    </a:prstGeom>
                    <a:noFill/>
                    <a:ln>
                      <a:noFill/>
                    </a:ln>
                  </pic:spPr>
                </pic:pic>
              </a:graphicData>
            </a:graphic>
          </wp:inline>
        </w:drawing>
      </w: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sz w:val="20"/>
          <w:szCs w:val="20"/>
          <w:lang w:eastAsia="en-US"/>
        </w:rPr>
        <w:t>Rysunek 2. Uziarnienie mieszanki mineralnej MCE, ruch KR3 – KR4</w:t>
      </w:r>
    </w:p>
    <w:p w:rsidR="009830EC" w:rsidRPr="009830EC" w:rsidRDefault="009830EC" w:rsidP="009830EC">
      <w:pPr>
        <w:pStyle w:val="Tekstpodstawowy"/>
        <w:jc w:val="both"/>
        <w:rPr>
          <w:rFonts w:ascii="Arial" w:hAnsi="Arial" w:cs="Arial"/>
          <w:b/>
          <w:sz w:val="20"/>
          <w:szCs w:val="20"/>
        </w:rPr>
      </w:pPr>
      <w:r w:rsidRPr="009830EC">
        <w:rPr>
          <w:rFonts w:ascii="Arial" w:hAnsi="Arial" w:cs="Arial"/>
          <w:b/>
          <w:sz w:val="20"/>
          <w:szCs w:val="20"/>
        </w:rPr>
        <w:t>5.2. Środki wiążące</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Jako środki wiążące należy stosować emulsję asfaltową i cement. Emulsja asfaltowa oraz cement powinny spełniać wymagania określone w pkt. 2.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Dla wyboru kombinacji środków wiążących należy przyjąć, jako orientacyjne następujące ilości: </w:t>
      </w:r>
    </w:p>
    <w:p w:rsidR="009830EC" w:rsidRPr="009830EC" w:rsidRDefault="009830EC" w:rsidP="00CC6A1B">
      <w:pPr>
        <w:pStyle w:val="Akapitzlist"/>
        <w:numPr>
          <w:ilvl w:val="0"/>
          <w:numId w:val="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emulsja asfaltowa: od 3 do 6% wagowo, </w:t>
      </w:r>
    </w:p>
    <w:p w:rsidR="009830EC" w:rsidRPr="009830EC" w:rsidRDefault="009830EC" w:rsidP="00CC6A1B">
      <w:pPr>
        <w:pStyle w:val="Akapitzlist"/>
        <w:numPr>
          <w:ilvl w:val="0"/>
          <w:numId w:val="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cement: od 1 do 4% wagowo.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 szczególnych przypadkach może okazać się, że zawartość środków wiążących powinna być inna niż zalecana. Takie rozwiązanie jest możliwe, o ile zostaną osiągnięte wymagania podane w tablicy 3, a na odcinku próbnym zostaną potwierdzone parametry wymagane dla warstwy wykonanej z mieszanki MCE.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Należy dążyć do takiej kombinacji środków wiążących, aby ilość cementu była jak najmniejsza, aby tym samym zminimalizować ryzyko powstania spękań odbitych. </w:t>
      </w:r>
    </w:p>
    <w:p w:rsidR="009830EC" w:rsidRPr="009830EC" w:rsidRDefault="009830EC" w:rsidP="009830EC">
      <w:pPr>
        <w:pStyle w:val="Nagwek2"/>
        <w:numPr>
          <w:ilvl w:val="0"/>
          <w:numId w:val="0"/>
        </w:numPr>
        <w:jc w:val="both"/>
        <w:rPr>
          <w:rFonts w:ascii="Arial" w:hAnsi="Arial" w:cs="Arial"/>
          <w:sz w:val="20"/>
          <w:szCs w:val="20"/>
        </w:rPr>
      </w:pPr>
      <w:r w:rsidRPr="009830EC">
        <w:rPr>
          <w:rFonts w:ascii="Arial" w:hAnsi="Arial" w:cs="Arial"/>
          <w:sz w:val="20"/>
          <w:szCs w:val="20"/>
        </w:rPr>
        <w:lastRenderedPageBreak/>
        <w:t>5.3. Projektowanie mieszanki MCE</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Projektowanie mieszanki mineralno-cementowo-emulsyjnej powinno odbywać się według następującej procedury: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 Dobranie materiałów wyjściowe do opracowania mieszanki mineralnej MCE.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2. Dobranie środków wiążących do przygotowania mieszanki MCE.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3. Wyznaczenie optymalnej zawartości płynów.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4. Wyznaczenie ilości wody potrzebnej do dodania w celu uzyskania optymalnej zawartości płynów.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5. Uformowanie próbek z mieszanki mineralno-cementowo-emulsyjnej w celu określenia cech fizycznych i mechanicznych wykonywanej mieszanki.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6. Przechowywanie próbek przez okres dojrzewania.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7. Przeprowadzenie wymaganych badań w celu określenia cech fizycznych i mechanicznych.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8. Opracowanie recepty mieszanki MCE.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Dobór materiałów do opracowania mieszanki mineralnej MCE polega na sprawdzeniu ich przydatności na podstawie porównania ich właściwości z wymaganiami określonymi w pkt. 2. Dobór składu mieszanki mineralnej polega na takim skomponowaniu mieszanki mineralnej, aby uziarnienie spełniało wymagania podane w tablicy 2 oraz odpowiednio na rysunkach 1 lub 2. Kompozycja powinna zawierać maksymalną ilość materiału z rozbiórki oraz tak dobrane materiały </w:t>
      </w:r>
      <w:proofErr w:type="spellStart"/>
      <w:r w:rsidRPr="009830EC">
        <w:rPr>
          <w:rFonts w:ascii="Arial" w:hAnsi="Arial" w:cs="Arial"/>
          <w:sz w:val="20"/>
          <w:szCs w:val="20"/>
        </w:rPr>
        <w:t>doziarniające</w:t>
      </w:r>
      <w:proofErr w:type="spellEnd"/>
      <w:r w:rsidRPr="009830EC">
        <w:rPr>
          <w:rFonts w:ascii="Arial" w:hAnsi="Arial" w:cs="Arial"/>
          <w:sz w:val="20"/>
          <w:szCs w:val="20"/>
        </w:rPr>
        <w:t xml:space="preserve">, aby uzyskać jak najlepsze parametry gotowej mieszanki MCE przy jak najmniejszym </w:t>
      </w:r>
      <w:proofErr w:type="spellStart"/>
      <w:r w:rsidRPr="009830EC">
        <w:rPr>
          <w:rFonts w:ascii="Arial" w:hAnsi="Arial" w:cs="Arial"/>
          <w:sz w:val="20"/>
          <w:szCs w:val="20"/>
        </w:rPr>
        <w:t>doziarnieniu</w:t>
      </w:r>
      <w:proofErr w:type="spellEnd"/>
      <w:r w:rsidRPr="009830EC">
        <w:rPr>
          <w:rFonts w:ascii="Arial" w:hAnsi="Arial" w:cs="Arial"/>
          <w:sz w:val="20"/>
          <w:szCs w:val="20"/>
        </w:rPr>
        <w:t xml:space="preserve"> oraz jak najmniejszym dodatku środków wiążących.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Destrukt do badań należy pobrać frezarką z nawierzchni tak, aby uzyskać materiał jak najbardziej zbliżony do tego, jaki wystąpi podczas przetwarzania nawierzchni. Przy próbnym frezowaniu należy zachować porównywalne warunki (np. głębokość frezowania) do tych, jakie wystąpią w procesie wytwarzania i wbudowania MCE. Od jednorodności materiałów na etapie opracowywania recepty oraz wykonywania warstwy zależy jakość wykonanej podbudowy z mieszanki MCE. W przypadku pobierania materiału z hałdy należy pobrać materiał reprezentatywny dla danej hałdy. Minimalna waga próbki z jednego odcinka lub z jednorodnego materiału powinna wynosić około 150 kg.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Dobór środków wiążących powinien zależeć od celów jakie stawia się wykonywanej podbudowie. O ile rodzaj emulsji, ze względu na rozwiązania normowe, nie ulegnie zmianie to pewne efekty można uzyskać stosując odpowiednie rodzaje cementu. W przypadku konieczności szybkiego wykorzystania wykonanej podbudowy należy stosować cementy szybkowiążące, w pozostałych przypadkach cementy wolnowiążące. Aby szybciej uzyskać wczesną wytrzymałość można też stosować cementy klasy 42,5. W obu przypadkach należy pamiętać, aby nie wykonać zbyt sztywnej mieszanki MCE, ponieważ może to skutkować szybkim skurczem, a co się z tym wiąże ze spękaniem podbudowy i w konsekwencji z powstawaniem spękań odbitych w nawierzchni asfaltowej.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Przy wyborze składu mieszanki materiałów budowlanych należy uwzględnić informacje pochodzące od Zamawiającego, takie jak obciążenie ruchem, rodzaj warstw górnych nad warstwą z mieszanki MCE, jak również uwarunkowania lokalne, klimatyczne i topograficzne. Ponadto należy wziąć pod uwagę informacje o spodziewanej ilości destruktu, potencjalnych środkach wiążących i materiałach </w:t>
      </w:r>
      <w:proofErr w:type="spellStart"/>
      <w:r w:rsidRPr="009830EC">
        <w:rPr>
          <w:rFonts w:ascii="Arial" w:hAnsi="Arial" w:cs="Arial"/>
          <w:sz w:val="20"/>
          <w:szCs w:val="20"/>
        </w:rPr>
        <w:t>doziarniających</w:t>
      </w:r>
      <w:proofErr w:type="spellEnd"/>
      <w:r w:rsidRPr="009830EC">
        <w:rPr>
          <w:rFonts w:ascii="Arial" w:hAnsi="Arial" w:cs="Arial"/>
          <w:sz w:val="20"/>
          <w:szCs w:val="20"/>
        </w:rPr>
        <w:t xml:space="preserv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Próbki do badań mieszanki MCE należy zagęszczać przy optymalnej zawartości płynów.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Na optymalną zawartość płynów składa się woda pochodząca z emulsji, woda zawarta w materiałach i stanowiąca o ich wilgotności oraz woda dodana do mieszanki. Dodatkowo pewien wpływ na urabialność mieszanki ma asfalt zawarty w emulsji. Aby określić ilość dodawanej wody w celu uzyskania optymalnej zawartości płynów, należy uwzględnić wszystkie te składniki. Określenie ilości dodawanej wody do gotowej mieszanki MCE przeprowadza się na podstawie następującej zależności: </w:t>
      </w:r>
    </w:p>
    <w:p w:rsidR="009830EC" w:rsidRPr="009830EC" w:rsidRDefault="009830EC" w:rsidP="009830EC">
      <w:pPr>
        <w:jc w:val="both"/>
        <w:rPr>
          <w:rFonts w:ascii="Arial" w:hAnsi="Arial" w:cs="Arial"/>
          <w:sz w:val="20"/>
          <w:szCs w:val="20"/>
        </w:rPr>
      </w:pPr>
      <w:r w:rsidRPr="009830EC">
        <w:rPr>
          <w:rFonts w:ascii="Arial" w:hAnsi="Arial" w:cs="Arial"/>
          <w:noProof/>
          <w:sz w:val="20"/>
          <w:szCs w:val="20"/>
        </w:rPr>
        <w:drawing>
          <wp:inline distT="0" distB="0" distL="0" distR="0">
            <wp:extent cx="3214048" cy="1165517"/>
            <wp:effectExtent l="0" t="0" r="5715" b="0"/>
            <wp:docPr id="10"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511" cy="1201948"/>
                    </a:xfrm>
                    <a:prstGeom prst="rect">
                      <a:avLst/>
                    </a:prstGeom>
                    <a:noFill/>
                    <a:ln>
                      <a:noFill/>
                    </a:ln>
                  </pic:spPr>
                </pic:pic>
              </a:graphicData>
            </a:graphic>
          </wp:inline>
        </w:drawing>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Optymalną zawartość płynów określa się w oparciu o metodę </w:t>
      </w:r>
      <w:proofErr w:type="spellStart"/>
      <w:r w:rsidRPr="009830EC">
        <w:rPr>
          <w:rFonts w:ascii="Arial" w:hAnsi="Arial" w:cs="Arial"/>
          <w:sz w:val="20"/>
          <w:szCs w:val="20"/>
        </w:rPr>
        <w:t>Proctora</w:t>
      </w:r>
      <w:proofErr w:type="spellEnd"/>
      <w:r w:rsidRPr="009830EC">
        <w:rPr>
          <w:rFonts w:ascii="Arial" w:hAnsi="Arial" w:cs="Arial"/>
          <w:sz w:val="20"/>
          <w:szCs w:val="20"/>
        </w:rPr>
        <w:t xml:space="preserve">, zgodnie z normą PN-EN 13286-2 „Mieszanki niezwiązane i związane hydraulicznie. Część 2: Metody badań laboratoryjnych gęstości na sucho i zawartości wody. Zagęszczanie metodą </w:t>
      </w:r>
      <w:proofErr w:type="spellStart"/>
      <w:r w:rsidRPr="009830EC">
        <w:rPr>
          <w:rFonts w:ascii="Arial" w:hAnsi="Arial" w:cs="Arial"/>
          <w:sz w:val="20"/>
          <w:szCs w:val="20"/>
        </w:rPr>
        <w:t>Proktora</w:t>
      </w:r>
      <w:proofErr w:type="spellEnd"/>
      <w:r w:rsidRPr="009830EC">
        <w:rPr>
          <w:rFonts w:ascii="Arial" w:hAnsi="Arial" w:cs="Arial"/>
          <w:sz w:val="20"/>
          <w:szCs w:val="20"/>
        </w:rPr>
        <w:t xml:space="preserve">”. Optymalną zawartość płynów w mieszance mineralnej określa się według metody zmodyfikowanej, w dużym cylindrze (cylinder B), przy następujących założeniach: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 Należy przygotować mieszankę mineralną z destruktu, kruszywa </w:t>
      </w:r>
      <w:proofErr w:type="spellStart"/>
      <w:r w:rsidRPr="009830EC">
        <w:rPr>
          <w:rFonts w:ascii="Arial" w:hAnsi="Arial" w:cs="Arial"/>
          <w:sz w:val="20"/>
          <w:szCs w:val="20"/>
        </w:rPr>
        <w:t>doziarniającego</w:t>
      </w:r>
      <w:proofErr w:type="spellEnd"/>
      <w:r w:rsidRPr="009830EC">
        <w:rPr>
          <w:rFonts w:ascii="Arial" w:hAnsi="Arial" w:cs="Arial"/>
          <w:sz w:val="20"/>
          <w:szCs w:val="20"/>
        </w:rPr>
        <w:t xml:space="preserve"> oraz 2 % cementu.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2. Do każdej porcji mieszanki dodać wodę tak, aby każda kolejna próbka miała wilgotność większą o </w:t>
      </w:r>
      <w:r w:rsidRPr="009830EC">
        <w:rPr>
          <w:rFonts w:ascii="Arial" w:hAnsi="Arial" w:cs="Arial"/>
          <w:sz w:val="20"/>
          <w:szCs w:val="20"/>
        </w:rPr>
        <w:lastRenderedPageBreak/>
        <w:t xml:space="preserve">1,0 – 1,5 %.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3. Norma ta dopuszcza materiał o uziarnieniu do 31,5 mm, dlatego też należy odsiać nadziarno i zastąpić je materiałem drobniejszym o uziarnieniu od 22,4 do 31,5 mm.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Przed wykonaniem próbek należy sprawdzić stabilność emulsji asfaltowej w kontakcie z cementem. Badanie należy przeprowadzić zgodnie z PN-EN 12848 „Asfalty i lepiszcza asfaltowe. Oznaczanie stabilności emulsji asfaltowych podczas mieszania z cementem”.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Do dalszych badań należy przygotować próbki różniące się zawartością emulsji asfaltowej lub zawartością cementu. Badania mieszanki MCE należy przeprowadzać na mieszankach różniących się zawartościami pierwszego środka wiążącego, przy stałej zawartości drugiego środka wiążącego. W przypadku stałej ilości cementu ilość emulsji powinna w kolejnych mieszankach różnić się o 1% W przypadku stałej zawartości emulsji ilość cementu w kolejnych mieszankach powinna różnić się o 1%. W razie potrzeby, gdy nie można uzyskać wymaganych parametrów, należy zmienić środek wiążący lub skorygować mieszankę mineralną.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Próbki do dalszych badań przygotowuje się w następujący sposób: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 Do przygotowanej mieszanki destruktu i kruszywa należy dodać cement i wodę. Można dodawać cement i wodę w postaci zaczynu, ułatwi to proces mieszania. Stosunek w/c zaczynu powinien być zbliżony do 1, jednak w żadnym przypadku nie może być mniejszy od 0,5.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2. Do wymieszanego destruktu z kruszywem, wodą i cementem należy dodać emulsję asfaltową i wymieszać wszystko w celu uzyskania jednorodnej mieszanki MCE.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3. Wskazane jest aby mieszanie odbywało się w mieszarkach mechanicznych. Całkowity czas mieszania nie powinien być dłuższy niż 2 minuty. W przypadku mieszania ręcznego czas mieszania powinien być tak dobrany, aby umożliwić uzyskanie jednorodnej mieszanki.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4. Przygotowanie próbnych mieszanek MCE musi tak przebiegać, aby osiągnięte zostało jednorodne rozprowadzenie środków wiążących w mieszance mineralnej.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5. Zagęszczenie próbek powinno odbywać się w ubijakach Marshalla, w perforowanych formach (co najmniej 24 otwory o średnicy 2 mm rozmieszczone równomiernie na pobocznicy formy). Należy wykonać próbki o średnicy 101±2 mm oraz wysokości 63,5±3,5 mm. Próbki należy zagęszczać stosując 75 uderzeń na każdą stronę próbki. Zagęszczanie należy wykonać zgodnie z procedurą opisaną w normie PN-EN 12697-30 „Mieszanki mineralno-asfaltowe. Metody badań mieszanek mineralno-asfaltowych na gorąco. Część 30: Przygotowanie próbek zagęszczonych przez ubijanie”.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6. Dla każdej kombinacji zawartości środków wiążących należy wykonać po 18 próbek dla pojedynczego składu.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7. Próbki po zagęszczeniu należy przechowywać w formach przez 20÷24 h. Podczas wyjmowania próbek należy zachować szczególną ostrożność, aby ich nie uszkodzić. Do wyjmowania próbek należy zastosować wyciskarkę hydrauliczną lub wyciskarkę ręczną. Próbek nie należy wybijać z formy przy użyciu młotka.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8. Po wyjęciu próbek 3 najbardziej uszkodzone należy odrzucić pozostawiając 15 najlepiej uformowanych do dalszych badań.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Próbki po wykonaniu i wyjęciu z form powinny być odpowiednio kondycjonowane, w następujących warunkach: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 Pierwszy dzień po zagęszczeniu próbki powinny być przechowywane w temperaturze +20 ± 5°C (temperatura pokojowa), w formach, w których zostały zagęszczone.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2. Od 1 do 7 dnia następuje przechowywanie suche przy względnej wilgotności od 40% do 70%, przy temperaturze powietrza +20 ± 5°C.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3. W siódmym dniu 6 próbek przeznaczonych do badania wytrzymałości na pośrednie rozciąganie oraz modułu sztywności po 7 dniach przygotowuje się do badania.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4. Przed wykonaniem badań wytrzymałości 7-dniowej oraz modułów sztywności po 7 dniach należy oznaczyć gęstość objętościową dla każdej próbki, a po badaniu gęstość dla całej mieszanki MCE w celu określenia zawartości wolnych przestrzeni w próbkach wykonanych z mieszanki MCE.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5. Na podstawie badań po 7 dniach należy ocenić mieszankę MCE. Jeżeli wyniki rokują osiągniecie wymagań określonych w tablicy 3. to można wstępnie zaakceptować receptę i kontynuować badania. W przeciwnym wypadku należy projektowanie mieszanki MCE zacząć od początku.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6. Pozostałe próbki przechowuje się w warunkach suchych przy względnej wilgotności od 40% do 70%, przy temperaturze powietrza +20 ± 5°C.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7. W 14-tym dniu próbki dzieli się na dwie grupy.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8. Jedną grupę próbek przechowuje się w powietrzu w +20 ± 5°C przez kolejne 14 dni.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9. Drugą grupę próbek umieszcza się w kąpieli wodnej o temperaturze +20 ± 5°C, przy całkowitym ich przykryciu na kolejne 14 dni.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10. 28 dnia próbki przechowywane w warunkach suchych jak również próbki przechowywane w warunkach sucho/mokrych przygotowuje się do badania wytrzymałości na pośrednie rozciąganie oraz do badania modułu sztywności.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11. Badania wytrzymałości na pośrednie rozciąganie oraz modułu sztywności przeprowadza się w </w:t>
      </w:r>
      <w:r w:rsidRPr="009830EC">
        <w:rPr>
          <w:rFonts w:ascii="Arial" w:hAnsi="Arial" w:cs="Arial"/>
          <w:sz w:val="20"/>
          <w:szCs w:val="20"/>
        </w:rPr>
        <w:lastRenderedPageBreak/>
        <w:t xml:space="preserve">temperaturze +5ºC. Próbki przed badaniem należy co najmniej przez 4 h przechowywać w temperaturze badania, a samo badanie należy przeprowadzić w jak najkrótszym czasie po wyjęciu próbek z komory chłodniczej.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Mieszanka mineralno-cementowo-emulsyjna powinna charakteryzować się odpowiednimi parametrami fizycznymi oraz mechanicznymi. Do oceny mieszanki MCE służą: </w:t>
      </w:r>
    </w:p>
    <w:p w:rsidR="009830EC" w:rsidRPr="009830EC" w:rsidRDefault="009830EC" w:rsidP="00CC6A1B">
      <w:pPr>
        <w:pStyle w:val="Akapitzlist"/>
        <w:numPr>
          <w:ilvl w:val="0"/>
          <w:numId w:val="17"/>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zawartość wolnych przestrzeni, </w:t>
      </w:r>
    </w:p>
    <w:p w:rsidR="009830EC" w:rsidRPr="009830EC" w:rsidRDefault="009830EC" w:rsidP="00CC6A1B">
      <w:pPr>
        <w:pStyle w:val="Akapitzlist"/>
        <w:numPr>
          <w:ilvl w:val="0"/>
          <w:numId w:val="17"/>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wytrzymałość na pośrednie rozciąganie, </w:t>
      </w:r>
    </w:p>
    <w:p w:rsidR="009830EC" w:rsidRPr="009830EC" w:rsidRDefault="009830EC" w:rsidP="00CC6A1B">
      <w:pPr>
        <w:pStyle w:val="Akapitzlist"/>
        <w:numPr>
          <w:ilvl w:val="0"/>
          <w:numId w:val="17"/>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moduł sztywności, </w:t>
      </w:r>
    </w:p>
    <w:p w:rsidR="009830EC" w:rsidRPr="009830EC" w:rsidRDefault="009830EC" w:rsidP="00CC6A1B">
      <w:pPr>
        <w:pStyle w:val="Akapitzlist"/>
        <w:numPr>
          <w:ilvl w:val="0"/>
          <w:numId w:val="17"/>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odporność na działanie wody, czyli pozostała wytrzymałość na pośrednie rozciąganie po przechowywaniu próbek w wodzie.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Zawartość wolnych przestrzeni w uformowanych próbkach MCE określa się na próbkach po siedmiu dniach przechowywania według procedury opisanej powyżej. Zawartość wolnych przestrzeni należy wyznaczyć zgodnie z normą PN-EN 12697-8 „Mieszanki mineralno-asfaltowe. Metody badań mieszanek mineralno-asfaltowych na gorąco. Część 8: Oznaczanie zawartości wolnej przestrzeni”, gęstość objętościową każdej próbki należy oznaczyć zgodnie z normą PN-EN 12697-6 „Mieszanki mineralno-asfaltowe. Metody badań mieszanek mineralno-asfaltowych na gorąco. Część 6: Oznaczanie gęstości objętościowej próbek mieszanki mineralno-asfaltowej” metodą D, gęstość każdej mieszanki należy oznaczyć (materiał uśredniony z kilku próbek) zgodnie z normą PN-EN 12697-5 „Mieszanki mineralno-asfaltowe. Metody badań mieszanek mineralno-asfaltowych na gorąco. Część 5: Oznaczanie gęstości”. Badanie należy wykonać metodą A, w wodzie.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Wytrzymałość na pośrednie rozciąganie ITS należy wyznaczyć zgodnie z normą PN-EN 12697-23 „Mieszanki mineralno-asfaltowe. Metody badań mieszanek mineralno-asfaltowych na gorąco. Część 23: Oznaczanie wytrzymałości mieszanki mineralno-asfaltowej na rozciąganie pośrednie”. Badania należy przeprowadzić w następujących warunkach: </w:t>
      </w:r>
    </w:p>
    <w:p w:rsidR="009830EC" w:rsidRPr="009830EC" w:rsidRDefault="009830EC" w:rsidP="00CC6A1B">
      <w:pPr>
        <w:pStyle w:val="Akapitzlist"/>
        <w:numPr>
          <w:ilvl w:val="0"/>
          <w:numId w:val="16"/>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temperatura badania +5ºC, </w:t>
      </w:r>
    </w:p>
    <w:p w:rsidR="009830EC" w:rsidRPr="009830EC" w:rsidRDefault="009830EC" w:rsidP="00CC6A1B">
      <w:pPr>
        <w:pStyle w:val="Akapitzlist"/>
        <w:numPr>
          <w:ilvl w:val="0"/>
          <w:numId w:val="16"/>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prędkość przesuwu tłoka 50 mm/min.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Moduł sztywności należy oznaczyć metodą IT-CY zgodnie z normą PN-EN 12697-26 „Mieszanki mineralno-asfaltowe. Metody badań mieszanek mineralno-asfaltowych na gorąco. Część 26: Sztywność”. Badania należy przeprowadzić w następujących warunkach: </w:t>
      </w:r>
    </w:p>
    <w:p w:rsidR="009830EC" w:rsidRPr="009830EC" w:rsidRDefault="009830EC" w:rsidP="00CC6A1B">
      <w:pPr>
        <w:pStyle w:val="Akapitzlist"/>
        <w:numPr>
          <w:ilvl w:val="0"/>
          <w:numId w:val="1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temperatura badania +5ºC, </w:t>
      </w:r>
    </w:p>
    <w:p w:rsidR="009830EC" w:rsidRPr="009830EC" w:rsidRDefault="009830EC" w:rsidP="00CC6A1B">
      <w:pPr>
        <w:pStyle w:val="Akapitzlist"/>
        <w:numPr>
          <w:ilvl w:val="0"/>
          <w:numId w:val="1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czas przyrostu odkształcenia 124±4 ms, </w:t>
      </w:r>
    </w:p>
    <w:p w:rsidR="009830EC" w:rsidRPr="009830EC" w:rsidRDefault="009830EC" w:rsidP="00CC6A1B">
      <w:pPr>
        <w:pStyle w:val="Akapitzlist"/>
        <w:numPr>
          <w:ilvl w:val="0"/>
          <w:numId w:val="1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docelowy poziom deformacji 5 </w:t>
      </w:r>
      <w:proofErr w:type="spellStart"/>
      <w:r w:rsidRPr="009830EC">
        <w:rPr>
          <w:rFonts w:ascii="Arial" w:hAnsi="Arial" w:cs="Arial"/>
          <w:sz w:val="20"/>
          <w:szCs w:val="20"/>
        </w:rPr>
        <w:t>μm</w:t>
      </w:r>
      <w:proofErr w:type="spellEnd"/>
      <w:r w:rsidRPr="009830EC">
        <w:rPr>
          <w:rFonts w:ascii="Arial" w:hAnsi="Arial" w:cs="Arial"/>
          <w:sz w:val="20"/>
          <w:szCs w:val="20"/>
        </w:rPr>
        <w:t xml:space="preserve">, </w:t>
      </w:r>
    </w:p>
    <w:p w:rsidR="009830EC" w:rsidRPr="009830EC" w:rsidRDefault="009830EC" w:rsidP="00CC6A1B">
      <w:pPr>
        <w:pStyle w:val="Akapitzlist"/>
        <w:numPr>
          <w:ilvl w:val="0"/>
          <w:numId w:val="1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czas pomiędzy cyklami obciążenia 3 s, </w:t>
      </w:r>
    </w:p>
    <w:p w:rsidR="009830EC" w:rsidRPr="009830EC" w:rsidRDefault="009830EC" w:rsidP="00CC6A1B">
      <w:pPr>
        <w:pStyle w:val="Akapitzlist"/>
        <w:numPr>
          <w:ilvl w:val="0"/>
          <w:numId w:val="1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ilość impulsów próbnych 10, </w:t>
      </w:r>
    </w:p>
    <w:p w:rsidR="009830EC" w:rsidRPr="009830EC" w:rsidRDefault="009830EC" w:rsidP="00CC6A1B">
      <w:pPr>
        <w:pStyle w:val="Akapitzlist"/>
        <w:numPr>
          <w:ilvl w:val="0"/>
          <w:numId w:val="1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ilość impulsów pomiarowych 5, </w:t>
      </w:r>
    </w:p>
    <w:p w:rsidR="009830EC" w:rsidRPr="009830EC" w:rsidRDefault="009830EC" w:rsidP="00CC6A1B">
      <w:pPr>
        <w:pStyle w:val="Akapitzlist"/>
        <w:numPr>
          <w:ilvl w:val="0"/>
          <w:numId w:val="1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współczynnik Poissona 0,3.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Wymagane parametry mieszanki MCE podano w tablicy 3. Decydującym kryterium przydatności mieszanki MCE są parametry uzyskane po 28 dniach od zagęszczenia. Parametry mechaniczne uzyskane po 7 dniach należy traktować jako wymagania pomocnicze i mogą one służyć do wstępnej akceptacji składu mieszanki MCE. Ostateczna akceptacja powinna nastąpić na podstawie wyników badań po 28 dniach od zagęszczania próbek.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Moduł sztywności należy badać tylko na etapie opracowywania recepty, na próbkach przygotowanych i zagęszczonych w laboratorium, aby sprawdzić, czy mieszanka MCE nie jest zbyt sztywna. Wyniki uzyskane dla próbek wykonanych z materiału wytworzonego na budowie lub wyniki oznaczone na próbkach wyciętych z zagęszczonej warstwy mogą być traktowane tylko i wyłącznie jako orientacyjne.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Na podstawie przeprowadzonych prac należy opracować receptę mieszanki MCE. Recepta powinna zawierać: </w:t>
      </w:r>
    </w:p>
    <w:p w:rsidR="009830EC" w:rsidRPr="009830EC" w:rsidRDefault="009830EC" w:rsidP="00CC6A1B">
      <w:pPr>
        <w:pStyle w:val="Akapitzlist"/>
        <w:numPr>
          <w:ilvl w:val="0"/>
          <w:numId w:val="1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Rodzaj i pochodzenie składników mineralnych wykorzystanych do skomponowania mieszanki MCE. </w:t>
      </w:r>
    </w:p>
    <w:p w:rsidR="009830EC" w:rsidRPr="009830EC" w:rsidRDefault="009830EC" w:rsidP="00CC6A1B">
      <w:pPr>
        <w:pStyle w:val="Akapitzlist"/>
        <w:numPr>
          <w:ilvl w:val="0"/>
          <w:numId w:val="1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Rodzaj i pochodzenie poszczególnych środków wiążących. </w:t>
      </w:r>
    </w:p>
    <w:p w:rsidR="009830EC" w:rsidRPr="009830EC" w:rsidRDefault="009830EC" w:rsidP="00CC6A1B">
      <w:pPr>
        <w:pStyle w:val="Akapitzlist"/>
        <w:numPr>
          <w:ilvl w:val="0"/>
          <w:numId w:val="1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Ilość poszczególnych składników mineralnych, spoiw oraz wody niezbędnych do wytworzenia mieszanki MCE. </w:t>
      </w:r>
    </w:p>
    <w:p w:rsidR="009830EC" w:rsidRPr="009830EC" w:rsidRDefault="009830EC" w:rsidP="00CC6A1B">
      <w:pPr>
        <w:pStyle w:val="Akapitzlist"/>
        <w:numPr>
          <w:ilvl w:val="0"/>
          <w:numId w:val="1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Uziarnienie mieszanki mineralnej. </w:t>
      </w:r>
    </w:p>
    <w:p w:rsidR="009830EC" w:rsidRPr="009830EC" w:rsidRDefault="009830EC" w:rsidP="00CC6A1B">
      <w:pPr>
        <w:pStyle w:val="Akapitzlist"/>
        <w:numPr>
          <w:ilvl w:val="0"/>
          <w:numId w:val="1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lastRenderedPageBreak/>
        <w:t xml:space="preserve">Parametry mieszanki MCE uzyskane w trakcie badań laboratoryjnych. </w:t>
      </w:r>
    </w:p>
    <w:p w:rsidR="009830EC" w:rsidRPr="009830EC" w:rsidRDefault="009830EC" w:rsidP="00CC6A1B">
      <w:pPr>
        <w:pStyle w:val="Akapitzlist"/>
        <w:numPr>
          <w:ilvl w:val="0"/>
          <w:numId w:val="14"/>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Inne informacje niezbędne do prawidłowego wykorzystania recepty.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Niezbędny czas na wykonanie pełnych badań związanych z wykonaniem recepty wynosi 6÷8 tygodni. Należy to uwzględnić przy projektowaniu prac związanych z wykonywaniem recyklingu na zimno z wykorzystaniem mieszanek MCE. </w:t>
      </w:r>
    </w:p>
    <w:p w:rsidR="009830EC" w:rsidRPr="009830EC" w:rsidRDefault="009830EC" w:rsidP="009830EC">
      <w:pPr>
        <w:jc w:val="both"/>
        <w:rPr>
          <w:rFonts w:ascii="Arial" w:hAnsi="Arial" w:cs="Arial"/>
          <w:sz w:val="20"/>
          <w:szCs w:val="20"/>
        </w:rPr>
      </w:pP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sz w:val="20"/>
          <w:szCs w:val="20"/>
          <w:lang w:eastAsia="en-US"/>
        </w:rPr>
        <w:t>Tablica 3. Wymagania w odniesieniu do próbek mieszanki MCE</w:t>
      </w:r>
    </w:p>
    <w:p w:rsidR="009830EC" w:rsidRPr="009830EC" w:rsidRDefault="009830EC" w:rsidP="009830EC">
      <w:pPr>
        <w:pStyle w:val="Default"/>
        <w:jc w:val="both"/>
        <w:rPr>
          <w:sz w:val="20"/>
          <w:szCs w:val="20"/>
        </w:rPr>
      </w:pPr>
    </w:p>
    <w:p w:rsidR="009830EC" w:rsidRPr="009830EC" w:rsidRDefault="009830EC" w:rsidP="009830EC">
      <w:pPr>
        <w:pStyle w:val="Default"/>
        <w:jc w:val="both"/>
        <w:rPr>
          <w:sz w:val="20"/>
          <w:szCs w:val="20"/>
        </w:rPr>
      </w:pPr>
      <w:r w:rsidRPr="009830EC">
        <w:rPr>
          <w:noProof/>
          <w:sz w:val="20"/>
          <w:szCs w:val="20"/>
          <w:lang w:eastAsia="pl-PL"/>
        </w:rPr>
        <w:drawing>
          <wp:inline distT="0" distB="0" distL="0" distR="0">
            <wp:extent cx="4959706" cy="2737954"/>
            <wp:effectExtent l="0" t="0" r="0" b="5715"/>
            <wp:docPr id="1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5859" cy="2752391"/>
                    </a:xfrm>
                    <a:prstGeom prst="rect">
                      <a:avLst/>
                    </a:prstGeom>
                    <a:noFill/>
                    <a:ln>
                      <a:noFill/>
                    </a:ln>
                  </pic:spPr>
                </pic:pic>
              </a:graphicData>
            </a:graphic>
          </wp:inline>
        </w:drawing>
      </w:r>
    </w:p>
    <w:p w:rsidR="009830EC" w:rsidRPr="009830EC" w:rsidRDefault="009830EC" w:rsidP="009830EC">
      <w:pPr>
        <w:pStyle w:val="Nagwek2"/>
        <w:numPr>
          <w:ilvl w:val="0"/>
          <w:numId w:val="0"/>
        </w:numPr>
        <w:jc w:val="both"/>
        <w:rPr>
          <w:rFonts w:ascii="Arial" w:hAnsi="Arial" w:cs="Arial"/>
          <w:sz w:val="20"/>
          <w:szCs w:val="20"/>
        </w:rPr>
      </w:pPr>
      <w:r w:rsidRPr="009830EC">
        <w:rPr>
          <w:rFonts w:ascii="Arial" w:hAnsi="Arial" w:cs="Arial"/>
          <w:sz w:val="20"/>
          <w:szCs w:val="20"/>
        </w:rPr>
        <w:t>5.4. Wykonywanie warstwy podbudowy z mieszanki MCE</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Podbudowa z mieszanki MCE powinna być wykonana z zachowaniem wszelkich zasad gwarantujących uzyskanie jednorodnej, zagęszczonej warstwy bez widocznych miejsc słabszych, uszkodzonych lub rozsegregowanych.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Podbudowa z mieszanki MCE powinna być wbudowywana na nośnym podłożu spełniającym wymagania określone w Dokumentacji Technicznej. W przypadku wbudowania podbudowy z mieszanki MCE na podłożu o niewystarczającej nośności nie uzyska się wystarczającej trwałości podbudowy, co w konsekwencji może doprowadzić do przedwczesnych uszkodzeń nawierzchni.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Wbudowywanie mieszanki MCE powinno odbywać się z zastosowaniem sprzętu opisanego w pkt.  3. Ostateczną przydatność sprzętu do wykonania warstwy z mieszanki MCE należy potwierdzić na odcinku próbnym.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Transport materiałów wyjściowych lub gotowej mieszanki MCE powinien odbywać się w sposób opisany w rozdziale 4.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Przed przystąpieniem do robót, o ile zachodzi taka potrzeba, należy wykonać odcinek próbny. W trakcie wykonywania odcinka próbnego należy sprawdzić: </w:t>
      </w:r>
    </w:p>
    <w:p w:rsidR="009830EC" w:rsidRPr="009830EC" w:rsidRDefault="009830EC" w:rsidP="00CC6A1B">
      <w:pPr>
        <w:pStyle w:val="Akapitzlist"/>
        <w:numPr>
          <w:ilvl w:val="0"/>
          <w:numId w:val="13"/>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Przydatność zaproponowanej recepty do wykonania warstwy podbudowy z mieszanki MCE. </w:t>
      </w:r>
    </w:p>
    <w:p w:rsidR="009830EC" w:rsidRPr="009830EC" w:rsidRDefault="009830EC" w:rsidP="00CC6A1B">
      <w:pPr>
        <w:pStyle w:val="Akapitzlist"/>
        <w:numPr>
          <w:ilvl w:val="0"/>
          <w:numId w:val="13"/>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Przydatność sprzętu oraz dobór środków transportu mieszanki MCE. </w:t>
      </w:r>
    </w:p>
    <w:p w:rsidR="009830EC" w:rsidRPr="009830EC" w:rsidRDefault="009830EC" w:rsidP="00CC6A1B">
      <w:pPr>
        <w:pStyle w:val="Akapitzlist"/>
        <w:numPr>
          <w:ilvl w:val="0"/>
          <w:numId w:val="13"/>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Jednorodność wykonania warstwy z mieszanki MCE oraz efektywność sprzętu zagęszczającego. </w:t>
      </w:r>
    </w:p>
    <w:p w:rsidR="009830EC" w:rsidRPr="009830EC" w:rsidRDefault="009830EC" w:rsidP="00CC6A1B">
      <w:pPr>
        <w:pStyle w:val="Akapitzlist"/>
        <w:numPr>
          <w:ilvl w:val="0"/>
          <w:numId w:val="13"/>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Parametry warstwy wykonanej z mieszanki MCE. </w:t>
      </w:r>
    </w:p>
    <w:p w:rsidR="009830EC" w:rsidRPr="009830EC" w:rsidRDefault="009830EC" w:rsidP="009830EC">
      <w:pPr>
        <w:jc w:val="both"/>
        <w:rPr>
          <w:rFonts w:ascii="Arial" w:hAnsi="Arial" w:cs="Arial"/>
          <w:sz w:val="20"/>
          <w:szCs w:val="20"/>
        </w:rPr>
      </w:pPr>
      <w:r w:rsidRPr="009830EC">
        <w:rPr>
          <w:rFonts w:ascii="Arial" w:hAnsi="Arial" w:cs="Arial"/>
          <w:sz w:val="20"/>
          <w:szCs w:val="20"/>
        </w:rPr>
        <w:t>Odcinek próbny należy wykonać zawsze przy przeznaczeniu na drogi kategorii KR3</w:t>
      </w:r>
      <w:r w:rsidRPr="009830EC">
        <w:rPr>
          <w:rFonts w:ascii="Arial" w:hAnsi="Arial" w:cs="Arial"/>
          <w:b/>
          <w:bCs/>
          <w:sz w:val="20"/>
          <w:szCs w:val="20"/>
        </w:rPr>
        <w:t>÷</w:t>
      </w:r>
      <w:r w:rsidRPr="009830EC">
        <w:rPr>
          <w:rFonts w:ascii="Arial" w:hAnsi="Arial" w:cs="Arial"/>
          <w:sz w:val="20"/>
          <w:szCs w:val="20"/>
        </w:rPr>
        <w:t>KR4. W przypadku dróg obciążonych ruchem KR1</w:t>
      </w:r>
      <w:r w:rsidRPr="009830EC">
        <w:rPr>
          <w:rFonts w:ascii="Arial" w:hAnsi="Arial" w:cs="Arial"/>
          <w:b/>
          <w:bCs/>
          <w:sz w:val="20"/>
          <w:szCs w:val="20"/>
        </w:rPr>
        <w:t>÷</w:t>
      </w:r>
      <w:r w:rsidRPr="009830EC">
        <w:rPr>
          <w:rFonts w:ascii="Arial" w:hAnsi="Arial" w:cs="Arial"/>
          <w:sz w:val="20"/>
          <w:szCs w:val="20"/>
        </w:rPr>
        <w:t xml:space="preserve">KR2 odcinek próbny wykonujemy, gdy Wykonawca w ciągu ostatnich 6 miesięcy nie wykonywał podbudowy z mieszanki MCE. Jeżeli Wykonawca w ciągu ostatnich 6 miesięcy wykonał co najmniej jedno porównywalne zadanie z zastosowaniem mieszanki MCE z wykonywania odcinka próbnego można zrezygnować. W takim przypadku należy w ciągu pierwszych dni produkcji szczególnie starannie sprawdzać, czy jakość wykonywania prac jest zadawalająca.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 trakcie wbudowywania mieszanki MCE należy kontrolować jej urabialność. Może okazać się, że wyznaczona w laboratorium ilość dodawanej wody wymaga niewielkiej korekty (zwiększenia) ze względu na zbyt małą urabialność mieszanki. Korekta nie powinna być większa od 1%.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Grubość minimalna projektowanej warstwy po zagęszczeniu nie powinna, ze względów technologicznych, być mniejsza od 15 cm, natomiast grubość </w:t>
      </w:r>
    </w:p>
    <w:p w:rsidR="009830EC" w:rsidRPr="009830EC" w:rsidRDefault="009830EC" w:rsidP="009830EC">
      <w:pPr>
        <w:jc w:val="both"/>
        <w:rPr>
          <w:rFonts w:ascii="Arial" w:hAnsi="Arial" w:cs="Arial"/>
          <w:sz w:val="20"/>
          <w:szCs w:val="20"/>
        </w:rPr>
      </w:pPr>
      <w:r w:rsidRPr="009830EC">
        <w:rPr>
          <w:rFonts w:ascii="Arial" w:hAnsi="Arial" w:cs="Arial"/>
          <w:sz w:val="20"/>
          <w:szCs w:val="20"/>
        </w:rPr>
        <w:lastRenderedPageBreak/>
        <w:t xml:space="preserve">maksymalna projektowanej warstwy po zagęszczeniu, ze względu na konieczność uzyskania dobrego zagęszczenia w całym przekroju nie powinna przekraczać 25 cm.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Do zagęszczania warstwy wykonanej z mieszanki MCE należy stosować przede wszystkim ciężkie walce stalowe, wibracyjne o ciężarze roboczym minimum 14 ton. Dodatkowo można stosować walce ogumione lub lekkie stalowe do zamknięcia powierzchni warstwy. Przydatność walców do zagęszczania powinna być sprawdzona na odcinku próbnym. Prawidłowe zagęszczenie warstwy w całym jej przekroju decyduje o jej trwałości.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Mieszanka MCE powinna być wbudowywana przy temperaturach otoczenia wyższych od +5°C. Niedopuszczalne jest wbudowywanie mieszanki MCE w temperaturach poniżej 0°C. Wbudowywanie mieszanki MCE w temperaturach pomiędzy 0 a +5°C spowalnia wiązanie spoiw oraz rozpad emulsji asfaltowej. W takich sytuacjach należy wydłużyć czas przewidziany na wstępne związanie warstwy.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Przy wbudowywaniu mieszanki MCE kilkoma pasami ze spoiną podłużną należy minimum 10 cm gotowego pasma wcześniej wbudowanej mieszanki MCE rozdrobnić i na nowo przerobić tak, aby uzyskać dobre połączenie sąsiednich pasm.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Wykonywanie szwa poprzecznego powinno polegać na pionowym obcięciu krawędzi, usunięciu odciętego fragmentu podbudowy oraz rozpoczęciu wbudowywania warstwy od pionowej krawędzi. Obcięcie można wykonać piłą lub frezarką. Przed rozpoczęciem wbudowywania warstwy obcięty fragment należy uszczelnić gorącym asfaltem lub emulsją asfaltową.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Ruch i wbudowanie następnej warstwy może rozpocząć się po osiągnięciu przez warstwę MCE nośności 7 dniowej określonej w tablicy 4. Wymaganą nośność można uzyskać, przy normalnej pogodzie, po 2 do 3 dniach od wbudowania warstwy.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 uzasadnionych przypadkach dopuszcza się wbudowywanie kolejnych warstw po osiągnięciu minimum 70 % nośności wymaganej w tablicy 4. po 7 dniach. W takich przypadkach przez minimum 7 dni należy możliwie ograniczyć ruch budowlany. W przypadku przykrycia warstwy przed upływem 7 dni od jej wbudowania ocena warstwy powinna odbyć się na podstawie pomiarów przeprowadzonych przed przykryciem. Warstwa powinna osiągnąć minimum 70% wartości wymaganych po 7 dniach od jej wbudowania.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Jako zabieg pielęgnacyjny, ze względu na przejazdy pojazdów budowy oraz aby uzyskać związanie z kolejnymi warstwami można zastosować skropienie emulsją asfaltową i posypanie kruszywem grubym o uziarnieniu do 11,2 mm. W pozostałych przypadkach należy wykonać warstwę </w:t>
      </w:r>
      <w:proofErr w:type="spellStart"/>
      <w:r w:rsidRPr="009830EC">
        <w:rPr>
          <w:rFonts w:ascii="Arial" w:hAnsi="Arial" w:cs="Arial"/>
          <w:sz w:val="20"/>
          <w:szCs w:val="20"/>
        </w:rPr>
        <w:t>sczepną</w:t>
      </w:r>
      <w:proofErr w:type="spellEnd"/>
      <w:r w:rsidRPr="009830EC">
        <w:rPr>
          <w:rFonts w:ascii="Arial" w:hAnsi="Arial" w:cs="Arial"/>
          <w:sz w:val="20"/>
          <w:szCs w:val="20"/>
        </w:rPr>
        <w:t xml:space="preserve"> według ogólnych zasad.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 trakcie wykonywania mieszanki MCE w czasie wysokich temperatur może okazać się konieczna pielęgnacja warstwy poprzez zraszanie jej wodą. Decyzję o takim zabiegu powinien podjąć Wykonawca na podstawie własnych doświadczeń w porozumieniu z Zamawiającym z uwzględnieniem tempa wiązania wykonanej warstwy. </w:t>
      </w:r>
    </w:p>
    <w:p w:rsidR="009830EC" w:rsidRPr="009830EC" w:rsidRDefault="009830EC" w:rsidP="009830EC">
      <w:pPr>
        <w:jc w:val="both"/>
        <w:rPr>
          <w:rFonts w:ascii="Arial" w:hAnsi="Arial" w:cs="Arial"/>
          <w:sz w:val="20"/>
          <w:szCs w:val="20"/>
        </w:rPr>
      </w:pPr>
    </w:p>
    <w:p w:rsidR="009830EC" w:rsidRPr="009830EC" w:rsidRDefault="009830EC" w:rsidP="009830EC">
      <w:pPr>
        <w:spacing w:before="122"/>
        <w:jc w:val="both"/>
        <w:rPr>
          <w:rFonts w:ascii="Arial" w:hAnsi="Arial" w:cs="Arial"/>
          <w:sz w:val="20"/>
          <w:szCs w:val="20"/>
          <w:lang w:eastAsia="en-US"/>
        </w:rPr>
      </w:pPr>
      <w:r w:rsidRPr="009830EC">
        <w:rPr>
          <w:rFonts w:ascii="Arial" w:hAnsi="Arial" w:cs="Arial"/>
          <w:sz w:val="20"/>
          <w:szCs w:val="20"/>
          <w:lang w:eastAsia="en-US"/>
        </w:rPr>
        <w:t>Tablica 4. Wymagania oraz tolerancje wykonania w odniesieniu do warstwy z mieszanki MCE</w:t>
      </w:r>
    </w:p>
    <w:p w:rsidR="009830EC" w:rsidRPr="009830EC" w:rsidRDefault="009830EC" w:rsidP="009830EC">
      <w:pPr>
        <w:jc w:val="both"/>
        <w:rPr>
          <w:rFonts w:ascii="Arial" w:hAnsi="Arial" w:cs="Arial"/>
          <w:sz w:val="20"/>
          <w:szCs w:val="20"/>
        </w:rPr>
      </w:pPr>
      <w:r w:rsidRPr="009830EC">
        <w:rPr>
          <w:rFonts w:ascii="Arial" w:hAnsi="Arial" w:cs="Arial"/>
          <w:noProof/>
          <w:sz w:val="20"/>
          <w:szCs w:val="20"/>
        </w:rPr>
        <w:drawing>
          <wp:inline distT="0" distB="0" distL="0" distR="0">
            <wp:extent cx="4675500" cy="2531059"/>
            <wp:effectExtent l="0" t="0" r="0" b="3175"/>
            <wp:docPr id="1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83715" cy="2535506"/>
                    </a:xfrm>
                    <a:prstGeom prst="rect">
                      <a:avLst/>
                    </a:prstGeom>
                    <a:noFill/>
                    <a:ln>
                      <a:noFill/>
                    </a:ln>
                  </pic:spPr>
                </pic:pic>
              </a:graphicData>
            </a:graphic>
          </wp:inline>
        </w:drawing>
      </w:r>
    </w:p>
    <w:p w:rsidR="009830EC" w:rsidRPr="009830EC" w:rsidRDefault="009830EC" w:rsidP="009830EC">
      <w:pPr>
        <w:pStyle w:val="Nagwek2"/>
        <w:numPr>
          <w:ilvl w:val="12"/>
          <w:numId w:val="0"/>
        </w:numPr>
        <w:spacing w:before="240"/>
        <w:jc w:val="both"/>
        <w:rPr>
          <w:rFonts w:ascii="Arial" w:hAnsi="Arial" w:cs="Arial"/>
          <w:sz w:val="20"/>
          <w:szCs w:val="20"/>
        </w:rPr>
      </w:pPr>
      <w:bookmarkStart w:id="13" w:name="_Toc451053281"/>
      <w:bookmarkStart w:id="14" w:name="_Toc498839497"/>
      <w:r w:rsidRPr="009830EC">
        <w:rPr>
          <w:rFonts w:ascii="Arial" w:hAnsi="Arial" w:cs="Arial"/>
          <w:sz w:val="20"/>
          <w:szCs w:val="20"/>
        </w:rPr>
        <w:t>6. KONTROLA JAKOŚCI ROBÓT</w:t>
      </w:r>
      <w:bookmarkEnd w:id="13"/>
      <w:bookmarkEnd w:id="14"/>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t>6.1. Ogólne zasady kontroli jakości robót</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Ogólne zasady kontroli jakości robót podano w ST D-M-00.00.00 „Wymagania ogólne pkt 6.</w:t>
      </w:r>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lastRenderedPageBreak/>
        <w:t>6.2. Badania przed przystąpieniem do robót</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Dla każdego odcinka należy potwierdzić przydatność materiałów lub mieszanek materiałów do wykonania mieszanki MCE poprzez porównanie posiadanych materiałów z materiałami wykorzystanymi do wytworzenia mieszanki MCE na etapie opracowania recepty.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Badania kontrolne przed przystąpieniem do prac, w trakcie ich wykonywania oraz badania wykonanej warstwy przeprowadza Wykonawca. Zamawiający ma prawo zweryfikować jakość prowadzonych prac poprzez przeprowadzenie swoich badań na każdym z etapów prowadzonych robót. </w:t>
      </w:r>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t>6.3. Badania w trakcie wykonywania warstwy</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 czasie wbudowywania mieszanki MCE należy sprawdzać następujące parametry: </w:t>
      </w:r>
    </w:p>
    <w:p w:rsidR="009830EC" w:rsidRPr="009830EC" w:rsidRDefault="009830EC" w:rsidP="00CC6A1B">
      <w:pPr>
        <w:pStyle w:val="Akapitzlist"/>
        <w:numPr>
          <w:ilvl w:val="0"/>
          <w:numId w:val="12"/>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jakość mieszanki mineralnej - ocena wizualna, </w:t>
      </w:r>
    </w:p>
    <w:p w:rsidR="009830EC" w:rsidRPr="009830EC" w:rsidRDefault="009830EC" w:rsidP="00CC6A1B">
      <w:pPr>
        <w:pStyle w:val="Akapitzlist"/>
        <w:numPr>
          <w:ilvl w:val="0"/>
          <w:numId w:val="12"/>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orientacyjną zawartość materiałów </w:t>
      </w:r>
      <w:proofErr w:type="spellStart"/>
      <w:r w:rsidRPr="009830EC">
        <w:rPr>
          <w:rFonts w:ascii="Arial" w:hAnsi="Arial" w:cs="Arial"/>
          <w:sz w:val="20"/>
          <w:szCs w:val="20"/>
        </w:rPr>
        <w:t>doziarniających</w:t>
      </w:r>
      <w:proofErr w:type="spellEnd"/>
      <w:r w:rsidRPr="009830EC">
        <w:rPr>
          <w:rFonts w:ascii="Arial" w:hAnsi="Arial" w:cs="Arial"/>
          <w:sz w:val="20"/>
          <w:szCs w:val="20"/>
        </w:rPr>
        <w:t xml:space="preserve">, </w:t>
      </w:r>
    </w:p>
    <w:p w:rsidR="009830EC" w:rsidRPr="009830EC" w:rsidRDefault="009830EC" w:rsidP="00CC6A1B">
      <w:pPr>
        <w:pStyle w:val="Akapitzlist"/>
        <w:numPr>
          <w:ilvl w:val="0"/>
          <w:numId w:val="12"/>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głębokość i szerokość frezowania, </w:t>
      </w:r>
    </w:p>
    <w:p w:rsidR="009830EC" w:rsidRPr="009830EC" w:rsidRDefault="009830EC" w:rsidP="00CC6A1B">
      <w:pPr>
        <w:pStyle w:val="Akapitzlist"/>
        <w:numPr>
          <w:ilvl w:val="0"/>
          <w:numId w:val="12"/>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dozowanie środków wiążących (cement i emulsja asfaltowa), </w:t>
      </w:r>
    </w:p>
    <w:p w:rsidR="009830EC" w:rsidRPr="009830EC" w:rsidRDefault="009830EC" w:rsidP="00CC6A1B">
      <w:pPr>
        <w:pStyle w:val="Akapitzlist"/>
        <w:numPr>
          <w:ilvl w:val="0"/>
          <w:numId w:val="12"/>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jednorodność i otoczenie - ocena wizualna, </w:t>
      </w:r>
    </w:p>
    <w:p w:rsidR="009830EC" w:rsidRPr="009830EC" w:rsidRDefault="009830EC" w:rsidP="00CC6A1B">
      <w:pPr>
        <w:pStyle w:val="Akapitzlist"/>
        <w:numPr>
          <w:ilvl w:val="0"/>
          <w:numId w:val="12"/>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grubość wbudowania po zagęszczeniu, </w:t>
      </w:r>
    </w:p>
    <w:p w:rsidR="009830EC" w:rsidRPr="009830EC" w:rsidRDefault="009830EC" w:rsidP="00CC6A1B">
      <w:pPr>
        <w:pStyle w:val="Akapitzlist"/>
        <w:numPr>
          <w:ilvl w:val="0"/>
          <w:numId w:val="12"/>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szerokość wykonanej warstwy i pochylenia poprzeczne.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Badania cech geometrycznych gotowej warstwy należy wykonać w odstępach nie mniejszych niż co 50 metrów. Należy zbadać: </w:t>
      </w:r>
    </w:p>
    <w:p w:rsidR="009830EC" w:rsidRPr="009830EC" w:rsidRDefault="009830EC" w:rsidP="00CC6A1B">
      <w:pPr>
        <w:pStyle w:val="Akapitzlist"/>
        <w:numPr>
          <w:ilvl w:val="0"/>
          <w:numId w:val="11"/>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spadek poprzeczny, </w:t>
      </w:r>
    </w:p>
    <w:p w:rsidR="009830EC" w:rsidRPr="009830EC" w:rsidRDefault="009830EC" w:rsidP="00CC6A1B">
      <w:pPr>
        <w:pStyle w:val="Akapitzlist"/>
        <w:numPr>
          <w:ilvl w:val="0"/>
          <w:numId w:val="11"/>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równość poprzeczna i podłużna, </w:t>
      </w:r>
    </w:p>
    <w:p w:rsidR="009830EC" w:rsidRPr="009830EC" w:rsidRDefault="009830EC" w:rsidP="00CC6A1B">
      <w:pPr>
        <w:pStyle w:val="Akapitzlist"/>
        <w:numPr>
          <w:ilvl w:val="0"/>
          <w:numId w:val="11"/>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szerokość, </w:t>
      </w:r>
    </w:p>
    <w:p w:rsidR="009830EC" w:rsidRDefault="009830EC" w:rsidP="00CC6A1B">
      <w:pPr>
        <w:pStyle w:val="Akapitzlist"/>
        <w:numPr>
          <w:ilvl w:val="0"/>
          <w:numId w:val="11"/>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rzędne wysokościowe. </w:t>
      </w:r>
    </w:p>
    <w:p w:rsidR="009838CB" w:rsidRPr="009830EC" w:rsidRDefault="009838CB" w:rsidP="009838CB">
      <w:pPr>
        <w:pStyle w:val="Akapitzlist"/>
        <w:suppressAutoHyphens w:val="0"/>
        <w:autoSpaceDE w:val="0"/>
        <w:autoSpaceDN w:val="0"/>
        <w:spacing w:before="120"/>
        <w:contextualSpacing w:val="0"/>
        <w:jc w:val="both"/>
        <w:rPr>
          <w:rFonts w:ascii="Arial" w:hAnsi="Arial" w:cs="Arial"/>
          <w:sz w:val="20"/>
          <w:szCs w:val="20"/>
        </w:rPr>
      </w:pPr>
    </w:p>
    <w:p w:rsidR="009830EC" w:rsidRPr="009830EC" w:rsidRDefault="009830EC" w:rsidP="009830EC">
      <w:pPr>
        <w:pStyle w:val="Tekstpodstawowy"/>
        <w:jc w:val="both"/>
        <w:rPr>
          <w:rFonts w:ascii="Arial" w:hAnsi="Arial" w:cs="Arial"/>
          <w:sz w:val="20"/>
          <w:szCs w:val="20"/>
        </w:rPr>
      </w:pPr>
      <w:r w:rsidRPr="009830EC">
        <w:rPr>
          <w:rFonts w:ascii="Arial" w:hAnsi="Arial" w:cs="Arial"/>
          <w:b/>
          <w:sz w:val="20"/>
          <w:szCs w:val="20"/>
        </w:rPr>
        <w:t>6.4.   Badania kontrolne wykonanej warstwy</w:t>
      </w:r>
    </w:p>
    <w:p w:rsidR="009830EC" w:rsidRPr="009830EC" w:rsidRDefault="009830EC" w:rsidP="009830EC">
      <w:pPr>
        <w:jc w:val="both"/>
        <w:rPr>
          <w:rFonts w:ascii="Arial" w:hAnsi="Arial" w:cs="Arial"/>
          <w:sz w:val="20"/>
          <w:szCs w:val="20"/>
        </w:rPr>
      </w:pPr>
      <w:bookmarkStart w:id="15" w:name="_Toc451053282"/>
      <w:bookmarkStart w:id="16" w:name="_Toc498839498"/>
      <w:r w:rsidRPr="009830EC">
        <w:rPr>
          <w:rFonts w:ascii="Arial" w:hAnsi="Arial" w:cs="Arial"/>
          <w:sz w:val="20"/>
          <w:szCs w:val="20"/>
        </w:rPr>
        <w:t xml:space="preserve">Dla każdych 3000 m2 wykonywanej warstwy, ale minimum raz dziennie względnie dla każdego odcinka należy określić następujące parametry na trzech próbkach zagęszczonych podczas wbudowywania warstwy z mieszanki MCE: </w:t>
      </w:r>
    </w:p>
    <w:p w:rsidR="009830EC" w:rsidRPr="009830EC" w:rsidRDefault="009830EC" w:rsidP="00CC6A1B">
      <w:pPr>
        <w:pStyle w:val="Akapitzlist"/>
        <w:numPr>
          <w:ilvl w:val="0"/>
          <w:numId w:val="10"/>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zawartość wolnych przestrzeni, </w:t>
      </w:r>
    </w:p>
    <w:p w:rsidR="009830EC" w:rsidRPr="009830EC" w:rsidRDefault="009830EC" w:rsidP="00CC6A1B">
      <w:pPr>
        <w:pStyle w:val="Akapitzlist"/>
        <w:numPr>
          <w:ilvl w:val="0"/>
          <w:numId w:val="10"/>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wytrzymałość na pośrednie rozciąganie po 7 lub po 28 dniach.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 Dla warstwy wykonanej z mieszanki MCE należy zbadać: </w:t>
      </w:r>
    </w:p>
    <w:p w:rsidR="009830EC" w:rsidRPr="009830EC" w:rsidRDefault="009830EC" w:rsidP="00CC6A1B">
      <w:pPr>
        <w:pStyle w:val="Akapitzlist"/>
        <w:numPr>
          <w:ilvl w:val="0"/>
          <w:numId w:val="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moduł odkształcenia E2 lub moduł dynamiczny EVD po 7 dniach lub po 28 dniach, o ile jest to możliwe, </w:t>
      </w:r>
    </w:p>
    <w:p w:rsidR="009830EC" w:rsidRPr="009830EC" w:rsidRDefault="009830EC" w:rsidP="00CC6A1B">
      <w:pPr>
        <w:pStyle w:val="Akapitzlist"/>
        <w:numPr>
          <w:ilvl w:val="0"/>
          <w:numId w:val="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grubość warstwy, </w:t>
      </w:r>
    </w:p>
    <w:p w:rsidR="009830EC" w:rsidRPr="009830EC" w:rsidRDefault="009830EC" w:rsidP="00CC6A1B">
      <w:pPr>
        <w:pStyle w:val="Akapitzlist"/>
        <w:numPr>
          <w:ilvl w:val="0"/>
          <w:numId w:val="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zawartość wolnych przestrzeni, </w:t>
      </w:r>
    </w:p>
    <w:p w:rsidR="009830EC" w:rsidRPr="009830EC" w:rsidRDefault="009830EC" w:rsidP="00CC6A1B">
      <w:pPr>
        <w:pStyle w:val="Akapitzlist"/>
        <w:numPr>
          <w:ilvl w:val="0"/>
          <w:numId w:val="9"/>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wskaźnik zagęszczenia.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Badania kontrolne należy wykonać według następujących zasad: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1. Zawartość wolnych przestrzeni w wytwarzanej mieszance MCE</w:t>
      </w:r>
      <w:r w:rsidRPr="009830EC">
        <w:rPr>
          <w:rFonts w:ascii="Arial" w:hAnsi="Arial" w:cs="Arial"/>
          <w:b/>
          <w:bCs/>
          <w:sz w:val="20"/>
          <w:szCs w:val="20"/>
        </w:rPr>
        <w:t xml:space="preserve"> </w:t>
      </w:r>
      <w:r w:rsidRPr="009830EC">
        <w:rPr>
          <w:rFonts w:ascii="Arial" w:hAnsi="Arial" w:cs="Arial"/>
          <w:sz w:val="20"/>
          <w:szCs w:val="20"/>
        </w:rPr>
        <w:t xml:space="preserve">określa się według normy PN-EN 12697-8 „Mieszanki mineralno-asfaltowe. Metody badania mieszanek mineralno-asfaltowych na gorąco. Część 8: Oznaczanie zawartości wolnej przestrzeni” w oparciu o gęstość objętościową oznaczoną według normy PN-EN 12697-6 „Mieszanki mineralno-asfaltowe. Metody badania mieszanek mineralno-asfaltowych na gorąco. Część 6: Oznaczanie gęstości objętościowej próbek mieszanki mineralno-asfaltowej”, metodą D na próbkach walcowych przygotowanych do badań wytrzymałości na pośrednie rozciąganie oraz gęstość oznaczoną według normy PN-EN 12697-5. „Mieszanki mineralno-asfaltowe. Metody badań mieszanek mineralno-asfaltowych na gorąco. Część 5: Oznaczanie gęstości”. Mieszanka MCE do wyznaczania gęstości powinna być pobrana w trakcie wykonywania warstwy, po jej wymieszaniu, przed jej zagęszczeniem lub pochodzić z materiału po zakończeniu badań wytrzymałościowych.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2. Wytrzymałość na pośrednie rozciąganie ITS wytwarzanej mieszanki MCE</w:t>
      </w:r>
      <w:r w:rsidRPr="009830EC">
        <w:rPr>
          <w:rFonts w:ascii="Arial" w:hAnsi="Arial" w:cs="Arial"/>
          <w:b/>
          <w:bCs/>
          <w:sz w:val="20"/>
          <w:szCs w:val="20"/>
        </w:rPr>
        <w:t xml:space="preserve"> </w:t>
      </w:r>
      <w:r w:rsidRPr="009830EC">
        <w:rPr>
          <w:rFonts w:ascii="Arial" w:hAnsi="Arial" w:cs="Arial"/>
          <w:sz w:val="20"/>
          <w:szCs w:val="20"/>
        </w:rPr>
        <w:t xml:space="preserve">powinna być wyznaczona zgodnie z normą PN-EN 12697-23 „Mieszanki mineralno-asfaltowe. Metody badań </w:t>
      </w:r>
      <w:r w:rsidRPr="009830EC">
        <w:rPr>
          <w:rFonts w:ascii="Arial" w:hAnsi="Arial" w:cs="Arial"/>
          <w:sz w:val="20"/>
          <w:szCs w:val="20"/>
        </w:rPr>
        <w:lastRenderedPageBreak/>
        <w:t xml:space="preserve">mieszanek mineralno-asfaltowych na gorąco. Część 23: Oznaczanie wytrzymałości mieszanki mineralno-asfaltowej na rozciąganie pośrednie”, po 7 lub po 28 dniach od uformowania próbek.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3. Moduł odkształcenia</w:t>
      </w:r>
      <w:r w:rsidRPr="009830EC">
        <w:rPr>
          <w:rFonts w:ascii="Arial" w:hAnsi="Arial" w:cs="Arial"/>
          <w:b/>
          <w:bCs/>
          <w:sz w:val="20"/>
          <w:szCs w:val="20"/>
        </w:rPr>
        <w:t xml:space="preserve"> </w:t>
      </w:r>
      <w:r w:rsidRPr="009830EC">
        <w:rPr>
          <w:rFonts w:ascii="Arial" w:hAnsi="Arial" w:cs="Arial"/>
          <w:sz w:val="20"/>
          <w:szCs w:val="20"/>
        </w:rPr>
        <w:t xml:space="preserve">E2 wykonanej warstwy z mieszanki MCE powinien być wyznaczony aparatem VSS, natomiast moduł dynamiczny EVD aparatem VSD do wyznaczenia modułu dynamicznego z ciężarem o masie 15 kg (zakres badań do co najmniej 100 </w:t>
      </w:r>
      <w:proofErr w:type="spellStart"/>
      <w:r w:rsidRPr="009830EC">
        <w:rPr>
          <w:rFonts w:ascii="Arial" w:hAnsi="Arial" w:cs="Arial"/>
          <w:sz w:val="20"/>
          <w:szCs w:val="20"/>
        </w:rPr>
        <w:t>MPa</w:t>
      </w:r>
      <w:proofErr w:type="spellEnd"/>
      <w:r w:rsidRPr="009830EC">
        <w:rPr>
          <w:rFonts w:ascii="Arial" w:hAnsi="Arial" w:cs="Arial"/>
          <w:sz w:val="20"/>
          <w:szCs w:val="20"/>
        </w:rPr>
        <w:t xml:space="preserve">). Badanie nośności należy wykonać zgodnie z procedurą opisaną w załączniku B normy PN-S-02205:1998, stosując warunki jak do badania podbudowy z kruszyw łamanych stabilizowanych mechanicznie. Obciążenie należy przykładać do osiągnięcia poziomu 0,45 </w:t>
      </w:r>
      <w:proofErr w:type="spellStart"/>
      <w:r w:rsidRPr="009830EC">
        <w:rPr>
          <w:rFonts w:ascii="Arial" w:hAnsi="Arial" w:cs="Arial"/>
          <w:sz w:val="20"/>
          <w:szCs w:val="20"/>
        </w:rPr>
        <w:t>MPa</w:t>
      </w:r>
      <w:proofErr w:type="spellEnd"/>
      <w:r w:rsidRPr="009830EC">
        <w:rPr>
          <w:rFonts w:ascii="Arial" w:hAnsi="Arial" w:cs="Arial"/>
          <w:sz w:val="20"/>
          <w:szCs w:val="20"/>
        </w:rPr>
        <w:t xml:space="preserve">, a odczyt przemieszczeń dokonywać pomiędzy obciążeniem 0,15 a 0,25 </w:t>
      </w:r>
      <w:proofErr w:type="spellStart"/>
      <w:r w:rsidRPr="009830EC">
        <w:rPr>
          <w:rFonts w:ascii="Arial" w:hAnsi="Arial" w:cs="Arial"/>
          <w:sz w:val="20"/>
          <w:szCs w:val="20"/>
        </w:rPr>
        <w:t>MPa</w:t>
      </w:r>
      <w:proofErr w:type="spellEnd"/>
      <w:r w:rsidRPr="009830EC">
        <w:rPr>
          <w:rFonts w:ascii="Arial" w:hAnsi="Arial" w:cs="Arial"/>
          <w:sz w:val="20"/>
          <w:szCs w:val="20"/>
        </w:rPr>
        <w:t xml:space="preserve">. Badanie nośności aparatem VSD należy wykonać zgodnie z ASTM E2835-11 „Standard Test Method for </w:t>
      </w:r>
      <w:proofErr w:type="spellStart"/>
      <w:r w:rsidRPr="009830EC">
        <w:rPr>
          <w:rFonts w:ascii="Arial" w:hAnsi="Arial" w:cs="Arial"/>
          <w:sz w:val="20"/>
          <w:szCs w:val="20"/>
        </w:rPr>
        <w:t>Measuring</w:t>
      </w:r>
      <w:proofErr w:type="spellEnd"/>
      <w:r w:rsidRPr="009830EC">
        <w:rPr>
          <w:rFonts w:ascii="Arial" w:hAnsi="Arial" w:cs="Arial"/>
          <w:sz w:val="20"/>
          <w:szCs w:val="20"/>
        </w:rPr>
        <w:t xml:space="preserve"> </w:t>
      </w:r>
      <w:proofErr w:type="spellStart"/>
      <w:r w:rsidRPr="009830EC">
        <w:rPr>
          <w:rFonts w:ascii="Arial" w:hAnsi="Arial" w:cs="Arial"/>
          <w:sz w:val="20"/>
          <w:szCs w:val="20"/>
        </w:rPr>
        <w:t>Deflections</w:t>
      </w:r>
      <w:proofErr w:type="spellEnd"/>
      <w:r w:rsidRPr="009830EC">
        <w:rPr>
          <w:rFonts w:ascii="Arial" w:hAnsi="Arial" w:cs="Arial"/>
          <w:sz w:val="20"/>
          <w:szCs w:val="20"/>
        </w:rPr>
        <w:t xml:space="preserve"> </w:t>
      </w:r>
      <w:proofErr w:type="spellStart"/>
      <w:r w:rsidRPr="009830EC">
        <w:rPr>
          <w:rFonts w:ascii="Arial" w:hAnsi="Arial" w:cs="Arial"/>
          <w:sz w:val="20"/>
          <w:szCs w:val="20"/>
        </w:rPr>
        <w:t>using</w:t>
      </w:r>
      <w:proofErr w:type="spellEnd"/>
      <w:r w:rsidRPr="009830EC">
        <w:rPr>
          <w:rFonts w:ascii="Arial" w:hAnsi="Arial" w:cs="Arial"/>
          <w:sz w:val="20"/>
          <w:szCs w:val="20"/>
        </w:rPr>
        <w:t xml:space="preserve"> a </w:t>
      </w:r>
      <w:proofErr w:type="spellStart"/>
      <w:r w:rsidRPr="009830EC">
        <w:rPr>
          <w:rFonts w:ascii="Arial" w:hAnsi="Arial" w:cs="Arial"/>
          <w:sz w:val="20"/>
          <w:szCs w:val="20"/>
        </w:rPr>
        <w:t>Portable</w:t>
      </w:r>
      <w:proofErr w:type="spellEnd"/>
      <w:r w:rsidRPr="009830EC">
        <w:rPr>
          <w:rFonts w:ascii="Arial" w:hAnsi="Arial" w:cs="Arial"/>
          <w:sz w:val="20"/>
          <w:szCs w:val="20"/>
        </w:rPr>
        <w:t xml:space="preserve"> </w:t>
      </w:r>
      <w:proofErr w:type="spellStart"/>
      <w:r w:rsidRPr="009830EC">
        <w:rPr>
          <w:rFonts w:ascii="Arial" w:hAnsi="Arial" w:cs="Arial"/>
          <w:sz w:val="20"/>
          <w:szCs w:val="20"/>
        </w:rPr>
        <w:t>Impulse</w:t>
      </w:r>
      <w:proofErr w:type="spellEnd"/>
      <w:r w:rsidRPr="009830EC">
        <w:rPr>
          <w:rFonts w:ascii="Arial" w:hAnsi="Arial" w:cs="Arial"/>
          <w:sz w:val="20"/>
          <w:szCs w:val="20"/>
        </w:rPr>
        <w:t xml:space="preserve"> </w:t>
      </w:r>
      <w:proofErr w:type="spellStart"/>
      <w:r w:rsidRPr="009830EC">
        <w:rPr>
          <w:rFonts w:ascii="Arial" w:hAnsi="Arial" w:cs="Arial"/>
          <w:sz w:val="20"/>
          <w:szCs w:val="20"/>
        </w:rPr>
        <w:t>Plate</w:t>
      </w:r>
      <w:proofErr w:type="spellEnd"/>
      <w:r w:rsidRPr="009830EC">
        <w:rPr>
          <w:rFonts w:ascii="Arial" w:hAnsi="Arial" w:cs="Arial"/>
          <w:sz w:val="20"/>
          <w:szCs w:val="20"/>
        </w:rPr>
        <w:t xml:space="preserve"> </w:t>
      </w:r>
      <w:proofErr w:type="spellStart"/>
      <w:r w:rsidRPr="009830EC">
        <w:rPr>
          <w:rFonts w:ascii="Arial" w:hAnsi="Arial" w:cs="Arial"/>
          <w:sz w:val="20"/>
          <w:szCs w:val="20"/>
        </w:rPr>
        <w:t>Load</w:t>
      </w:r>
      <w:proofErr w:type="spellEnd"/>
      <w:r w:rsidRPr="009830EC">
        <w:rPr>
          <w:rFonts w:ascii="Arial" w:hAnsi="Arial" w:cs="Arial"/>
          <w:sz w:val="20"/>
          <w:szCs w:val="20"/>
        </w:rPr>
        <w:t xml:space="preserve"> Test Device” oraz oceniać na podstawie “</w:t>
      </w:r>
      <w:proofErr w:type="spellStart"/>
      <w:r w:rsidRPr="009830EC">
        <w:rPr>
          <w:rFonts w:ascii="Arial" w:hAnsi="Arial" w:cs="Arial"/>
          <w:sz w:val="20"/>
          <w:szCs w:val="20"/>
        </w:rPr>
        <w:t>Zusätzliche</w:t>
      </w:r>
      <w:proofErr w:type="spellEnd"/>
      <w:r w:rsidRPr="009830EC">
        <w:rPr>
          <w:rFonts w:ascii="Arial" w:hAnsi="Arial" w:cs="Arial"/>
          <w:sz w:val="20"/>
          <w:szCs w:val="20"/>
        </w:rPr>
        <w:t xml:space="preserve"> </w:t>
      </w:r>
      <w:proofErr w:type="spellStart"/>
      <w:r w:rsidRPr="009830EC">
        <w:rPr>
          <w:rFonts w:ascii="Arial" w:hAnsi="Arial" w:cs="Arial"/>
          <w:sz w:val="20"/>
          <w:szCs w:val="20"/>
        </w:rPr>
        <w:t>Technische</w:t>
      </w:r>
      <w:proofErr w:type="spellEnd"/>
      <w:r w:rsidRPr="009830EC">
        <w:rPr>
          <w:rFonts w:ascii="Arial" w:hAnsi="Arial" w:cs="Arial"/>
          <w:sz w:val="20"/>
          <w:szCs w:val="20"/>
        </w:rPr>
        <w:t xml:space="preserve"> </w:t>
      </w:r>
      <w:proofErr w:type="spellStart"/>
      <w:r w:rsidRPr="009830EC">
        <w:rPr>
          <w:rFonts w:ascii="Arial" w:hAnsi="Arial" w:cs="Arial"/>
          <w:sz w:val="20"/>
          <w:szCs w:val="20"/>
        </w:rPr>
        <w:t>Vertragsbedingungen</w:t>
      </w:r>
      <w:proofErr w:type="spellEnd"/>
      <w:r w:rsidRPr="009830EC">
        <w:rPr>
          <w:rFonts w:ascii="Arial" w:hAnsi="Arial" w:cs="Arial"/>
          <w:sz w:val="20"/>
          <w:szCs w:val="20"/>
        </w:rPr>
        <w:t xml:space="preserve"> </w:t>
      </w:r>
      <w:proofErr w:type="spellStart"/>
      <w:r w:rsidRPr="009830EC">
        <w:rPr>
          <w:rFonts w:ascii="Arial" w:hAnsi="Arial" w:cs="Arial"/>
          <w:sz w:val="20"/>
          <w:szCs w:val="20"/>
        </w:rPr>
        <w:t>und</w:t>
      </w:r>
      <w:proofErr w:type="spellEnd"/>
      <w:r w:rsidRPr="009830EC">
        <w:rPr>
          <w:rFonts w:ascii="Arial" w:hAnsi="Arial" w:cs="Arial"/>
          <w:sz w:val="20"/>
          <w:szCs w:val="20"/>
        </w:rPr>
        <w:t xml:space="preserve"> </w:t>
      </w:r>
      <w:proofErr w:type="spellStart"/>
      <w:r w:rsidRPr="009830EC">
        <w:rPr>
          <w:rFonts w:ascii="Arial" w:hAnsi="Arial" w:cs="Arial"/>
          <w:sz w:val="20"/>
          <w:szCs w:val="20"/>
        </w:rPr>
        <w:t>Richtlinien</w:t>
      </w:r>
      <w:proofErr w:type="spellEnd"/>
      <w:r w:rsidRPr="009830EC">
        <w:rPr>
          <w:rFonts w:ascii="Arial" w:hAnsi="Arial" w:cs="Arial"/>
          <w:sz w:val="20"/>
          <w:szCs w:val="20"/>
        </w:rPr>
        <w:t xml:space="preserve"> </w:t>
      </w:r>
      <w:proofErr w:type="spellStart"/>
      <w:r w:rsidRPr="009830EC">
        <w:rPr>
          <w:rFonts w:ascii="Arial" w:hAnsi="Arial" w:cs="Arial"/>
          <w:sz w:val="20"/>
          <w:szCs w:val="20"/>
        </w:rPr>
        <w:t>für</w:t>
      </w:r>
      <w:proofErr w:type="spellEnd"/>
      <w:r w:rsidRPr="009830EC">
        <w:rPr>
          <w:rFonts w:ascii="Arial" w:hAnsi="Arial" w:cs="Arial"/>
          <w:sz w:val="20"/>
          <w:szCs w:val="20"/>
        </w:rPr>
        <w:t xml:space="preserve"> </w:t>
      </w:r>
      <w:proofErr w:type="spellStart"/>
      <w:r w:rsidRPr="009830EC">
        <w:rPr>
          <w:rFonts w:ascii="Arial" w:hAnsi="Arial" w:cs="Arial"/>
          <w:sz w:val="20"/>
          <w:szCs w:val="20"/>
        </w:rPr>
        <w:t>Erdarbeiten</w:t>
      </w:r>
      <w:proofErr w:type="spellEnd"/>
      <w:r w:rsidRPr="009830EC">
        <w:rPr>
          <w:rFonts w:ascii="Arial" w:hAnsi="Arial" w:cs="Arial"/>
          <w:sz w:val="20"/>
          <w:szCs w:val="20"/>
        </w:rPr>
        <w:t xml:space="preserve"> im </w:t>
      </w:r>
      <w:proofErr w:type="spellStart"/>
      <w:r w:rsidRPr="009830EC">
        <w:rPr>
          <w:rFonts w:ascii="Arial" w:hAnsi="Arial" w:cs="Arial"/>
          <w:sz w:val="20"/>
          <w:szCs w:val="20"/>
        </w:rPr>
        <w:t>Straßenbau</w:t>
      </w:r>
      <w:proofErr w:type="spellEnd"/>
      <w:r w:rsidRPr="009830EC">
        <w:rPr>
          <w:rFonts w:ascii="Arial" w:hAnsi="Arial" w:cs="Arial"/>
          <w:sz w:val="20"/>
          <w:szCs w:val="20"/>
        </w:rPr>
        <w:t xml:space="preserve"> ZTVE-</w:t>
      </w:r>
      <w:proofErr w:type="spellStart"/>
      <w:r w:rsidRPr="009830EC">
        <w:rPr>
          <w:rFonts w:ascii="Arial" w:hAnsi="Arial" w:cs="Arial"/>
          <w:sz w:val="20"/>
          <w:szCs w:val="20"/>
        </w:rPr>
        <w:t>StB</w:t>
      </w:r>
      <w:proofErr w:type="spellEnd"/>
      <w:r w:rsidRPr="009830EC">
        <w:rPr>
          <w:rFonts w:ascii="Arial" w:hAnsi="Arial" w:cs="Arial"/>
          <w:sz w:val="20"/>
          <w:szCs w:val="20"/>
        </w:rPr>
        <w:t xml:space="preserve"> 94”.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4. Grubość warstwy wykonanej z mieszanki MCE</w:t>
      </w:r>
      <w:r w:rsidRPr="009830EC">
        <w:rPr>
          <w:rFonts w:ascii="Arial" w:hAnsi="Arial" w:cs="Arial"/>
          <w:b/>
          <w:bCs/>
          <w:sz w:val="20"/>
          <w:szCs w:val="20"/>
        </w:rPr>
        <w:t xml:space="preserve"> </w:t>
      </w:r>
      <w:r w:rsidRPr="009830EC">
        <w:rPr>
          <w:rFonts w:ascii="Arial" w:hAnsi="Arial" w:cs="Arial"/>
          <w:sz w:val="20"/>
          <w:szCs w:val="20"/>
        </w:rPr>
        <w:t xml:space="preserve">określa się poprzez zmierzenie grubości warstwy w odwiercie. Pomiar należy wykonać zgodnie z PN-EN 12697-36 „Mieszanki mineralno-asfaltowe. Metody badań mieszanek mineralno-asfaltowych na gorąco. Część 36: Oznaczanie grubości nawierzchni asfaltowych”. Dopuszcza się pomiar geodezyjny grubości warstwy. </w:t>
      </w:r>
    </w:p>
    <w:p w:rsidR="009830EC" w:rsidRPr="009830EC" w:rsidRDefault="009830EC" w:rsidP="009830EC">
      <w:pPr>
        <w:ind w:left="709"/>
        <w:jc w:val="both"/>
        <w:rPr>
          <w:rFonts w:ascii="Arial" w:hAnsi="Arial" w:cs="Arial"/>
          <w:sz w:val="20"/>
          <w:szCs w:val="20"/>
        </w:rPr>
      </w:pP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5. Zawartość wolnych przestrzeni w warstwie wykonanej z mieszanki MCE</w:t>
      </w:r>
      <w:r w:rsidRPr="009830EC">
        <w:rPr>
          <w:rFonts w:ascii="Arial" w:hAnsi="Arial" w:cs="Arial"/>
          <w:b/>
          <w:bCs/>
          <w:sz w:val="20"/>
          <w:szCs w:val="20"/>
        </w:rPr>
        <w:t xml:space="preserve"> </w:t>
      </w:r>
      <w:r w:rsidRPr="009830EC">
        <w:rPr>
          <w:rFonts w:ascii="Arial" w:hAnsi="Arial" w:cs="Arial"/>
          <w:sz w:val="20"/>
          <w:szCs w:val="20"/>
        </w:rPr>
        <w:t xml:space="preserve">określa się według normy PN-EN 12697-8 „Mieszanki mineralno-asfaltowe. Metody badania mieszanek mineralno-asfaltowych na gorąco. Część 8: Oznaczanie zawartości wolnej przestrzeni” w oparciu o gęstość objętościową oznaczoną według normy PN-EN 12697-6 „Mieszanki mineralno-asfaltowe. Metody badania mieszanek mineralno-asfaltowych na gorąco. Część 6: Oznaczanie gęstości objętościowej próbek mieszanki mineralno-asfaltowej”, metodą D na próbkach walcowych (odwiertach) pobranych z nawierzchni oraz gęstość oznaczoną według normy PN-EN 12697-5 „Mieszanki mineralno-asfaltowe. Metody badań mieszanek mineralno-asfaltowych na gorąco. Część 5: Oznaczanie gęstości”. Jeżeli okażę się, ze nie można wyznaczyć gęstości objętościowej na próbkach walcowych (nie uda się pobrać próbek) to gęstość objętościową można wyznaczyć inną równoważną metodą.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6. Wskaźnik zagęszczenia warstwy wykonanej z mieszanki </w:t>
      </w:r>
      <w:r w:rsidRPr="009830EC">
        <w:rPr>
          <w:rFonts w:ascii="Arial" w:hAnsi="Arial" w:cs="Arial"/>
          <w:b/>
          <w:bCs/>
          <w:sz w:val="20"/>
          <w:szCs w:val="20"/>
        </w:rPr>
        <w:t xml:space="preserve">MCE </w:t>
      </w:r>
      <w:r w:rsidRPr="009830EC">
        <w:rPr>
          <w:rFonts w:ascii="Arial" w:hAnsi="Arial" w:cs="Arial"/>
          <w:sz w:val="20"/>
          <w:szCs w:val="20"/>
        </w:rPr>
        <w:t xml:space="preserve">określa się poprzez stosunek, wyrażony w procentach, gęstości objętościowej oznaczonej według normy PN-EN 12697-6 „Mieszanki mineralno-asfaltowe. Metody badania mieszanek mineralno-asfaltowych na gorąco. Część 6: Oznaczanie gęstości objętościowej próbek mieszanki mineralno-asfaltowej”, metodą D na próbkach walcowych (odwiertach) pobranych z nawierzchni po jej zagęszczeniu do gęstości objętościowej oznaczonej według normy PN-EN 12697-6 „Mieszanki mineralno-asfaltowe. Metody badania mieszanek mineralno-asfaltowych na gorąco. Część 6: Oznaczanie gęstości objętościowej próbek mieszanki mineralno-asfaltowej”, metodą D na próbkach walcowych przygotowanych w trakcie wykonywania warstwy do badań wytrzymałości na pośrednie rozciąganie. Bardzo ważne jest, aby próbki do badań pobierać w tym samym miejscu, ponieważ nawet niewielkie przesuniecie miejsca wykonywania badań może prowadzić do uzyskania nieprawdziwych wskazań. Do badań zagęszczenia warstw można wykorzystać inne metody po ich wcześniejszym skalibrowaniu i zaakceptowaniu przez Zamawiającego. Jeżeli okażę się, ze nie można wyznaczyć gęstości objętościowej na próbkach walcowych, ponieważ nie uda się pobrać próbek lub się one rozpadną w trakcie pobierania to można gęstość objętościową wyznaczyć inną równoważną metodą.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7. Spadek poprzeczny, równość, szerokość oraz rzędne wysokościowe wykonanej warstwy z mieszanki MCE należy sprawdzać w trakcie pomiarów geodezyjnych, według ogólnych zasad, nie rzadziej niż co 50 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W przypadku wykonywania warstwy z mieszanki MCE może zdarzyć się, że wyniki uzyskane w trakcie badań kontrolnych mogą wykraczać poza wymagany zakres. W takich przypadkach, gdy występują: </w:t>
      </w:r>
    </w:p>
    <w:p w:rsidR="009830EC" w:rsidRPr="009830EC" w:rsidRDefault="009830EC" w:rsidP="009830EC">
      <w:pPr>
        <w:jc w:val="both"/>
        <w:rPr>
          <w:rFonts w:ascii="Arial" w:hAnsi="Arial" w:cs="Arial"/>
          <w:sz w:val="20"/>
          <w:szCs w:val="20"/>
          <w:u w:val="single"/>
        </w:rPr>
      </w:pPr>
      <w:r w:rsidRPr="009830EC">
        <w:rPr>
          <w:rFonts w:ascii="Arial" w:hAnsi="Arial" w:cs="Arial"/>
          <w:sz w:val="20"/>
          <w:szCs w:val="20"/>
          <w:u w:val="single"/>
        </w:rPr>
        <w:t xml:space="preserve">Niewłaściwe cechy geometryczne: </w:t>
      </w:r>
    </w:p>
    <w:p w:rsidR="009830EC" w:rsidRPr="009830EC" w:rsidRDefault="009830EC" w:rsidP="00CC6A1B">
      <w:pPr>
        <w:pStyle w:val="Akapitzlist"/>
        <w:numPr>
          <w:ilvl w:val="0"/>
          <w:numId w:val="8"/>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Jeżeli po wykonaniu badań na związanej warstwie stwierdzi się, że odchylenia cech geometrycznych przekraczają wielkości określone w tablicy 4. i wpłynie to na niezadowalającą jakość elementu budowli, to warstwa powinna zostać zerwana na całą grubość i ponownie wykonana na koszt Wykonawcy. </w:t>
      </w:r>
    </w:p>
    <w:p w:rsidR="009830EC" w:rsidRPr="009830EC" w:rsidRDefault="009830EC" w:rsidP="00CC6A1B">
      <w:pPr>
        <w:pStyle w:val="Akapitzlist"/>
        <w:numPr>
          <w:ilvl w:val="0"/>
          <w:numId w:val="8"/>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Dopuszcza się inny rodzaj naprawy, o ile zostanie on zaakceptowany przez Zamawiającego. </w:t>
      </w:r>
    </w:p>
    <w:p w:rsidR="009830EC" w:rsidRPr="009830EC" w:rsidRDefault="009830EC" w:rsidP="00CC6A1B">
      <w:pPr>
        <w:pStyle w:val="Akapitzlist"/>
        <w:numPr>
          <w:ilvl w:val="0"/>
          <w:numId w:val="8"/>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Jeżeli szerokość wykonanej warstwy jest mniejsza od szerokości projektowanej o więcej niż 5 cm i nie zapewnia podparcia warstwom wyżej leżącym, to Wykonawca powinien poszerzyć warstwę poprzez zerwanie warstwy na pełną grubość do połowy szerokości pasa ruchu i wbudowanie nowej mieszanki. </w:t>
      </w:r>
    </w:p>
    <w:p w:rsidR="009830EC" w:rsidRPr="009830EC" w:rsidRDefault="009830EC" w:rsidP="009830EC">
      <w:pPr>
        <w:jc w:val="both"/>
        <w:rPr>
          <w:rFonts w:ascii="Arial" w:hAnsi="Arial" w:cs="Arial"/>
          <w:sz w:val="20"/>
          <w:szCs w:val="20"/>
          <w:u w:val="single"/>
        </w:rPr>
      </w:pPr>
      <w:r w:rsidRPr="009830EC">
        <w:rPr>
          <w:rFonts w:ascii="Arial" w:hAnsi="Arial" w:cs="Arial"/>
          <w:sz w:val="20"/>
          <w:szCs w:val="20"/>
          <w:u w:val="single"/>
        </w:rPr>
        <w:t>Niewłaściwa grubość wykonanej warstwy:</w:t>
      </w:r>
    </w:p>
    <w:p w:rsidR="009830EC" w:rsidRPr="009830EC" w:rsidRDefault="009830EC" w:rsidP="00CC6A1B">
      <w:pPr>
        <w:pStyle w:val="Akapitzlist"/>
        <w:numPr>
          <w:ilvl w:val="0"/>
          <w:numId w:val="7"/>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W miejscach, gdzie grubość jest niewystarczająca Wykonawca powinien uzupełnić ją </w:t>
      </w:r>
      <w:r w:rsidRPr="009830EC">
        <w:rPr>
          <w:rFonts w:ascii="Arial" w:hAnsi="Arial" w:cs="Arial"/>
          <w:sz w:val="20"/>
          <w:szCs w:val="20"/>
        </w:rPr>
        <w:lastRenderedPageBreak/>
        <w:t xml:space="preserve">materiałem z warstwy wyżej leżącej. </w:t>
      </w:r>
    </w:p>
    <w:p w:rsidR="009830EC" w:rsidRPr="009830EC" w:rsidRDefault="009830EC" w:rsidP="00CC6A1B">
      <w:pPr>
        <w:pStyle w:val="Akapitzlist"/>
        <w:numPr>
          <w:ilvl w:val="0"/>
          <w:numId w:val="7"/>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W miejscach, gdzie warstwa jest za gruba należy usunąć część warstwy, o ile będzie to możliwe technicznie. Można odstąpić od tego zabiegu w przypadku możliwej korekty niwelety umożliwiającej wbudowanie pełnej grubości warstw wyżej leżących. </w:t>
      </w:r>
    </w:p>
    <w:p w:rsidR="009830EC" w:rsidRPr="009830EC" w:rsidRDefault="009830EC" w:rsidP="009830EC">
      <w:pPr>
        <w:jc w:val="both"/>
        <w:rPr>
          <w:rFonts w:ascii="Arial" w:hAnsi="Arial" w:cs="Arial"/>
          <w:sz w:val="20"/>
          <w:szCs w:val="20"/>
          <w:u w:val="single"/>
        </w:rPr>
      </w:pPr>
      <w:r w:rsidRPr="009830EC">
        <w:rPr>
          <w:rFonts w:ascii="Arial" w:hAnsi="Arial" w:cs="Arial"/>
          <w:sz w:val="20"/>
          <w:szCs w:val="20"/>
          <w:u w:val="single"/>
        </w:rPr>
        <w:t>Niewłaściwa wytrzymałość na pośrednie rozciąganie wykonanej warstwy:</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 W przypadku oceny wytrzymałości należy do oceny wyników wykorzystać średnią wartość wytrzymałości z całego odcinka. Wyniki należy uznać za akceptowalne, gdy jednocześnie: </w:t>
      </w:r>
    </w:p>
    <w:p w:rsidR="009830EC" w:rsidRPr="009830EC" w:rsidRDefault="009830EC" w:rsidP="00CC6A1B">
      <w:pPr>
        <w:pStyle w:val="Akapitzlist"/>
        <w:numPr>
          <w:ilvl w:val="0"/>
          <w:numId w:val="6"/>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Wartość średnia mieści się w dopuszczalnym przedziale podanym w tablicy 3. </w:t>
      </w:r>
    </w:p>
    <w:p w:rsidR="009830EC" w:rsidRPr="009830EC" w:rsidRDefault="009830EC" w:rsidP="00CC6A1B">
      <w:pPr>
        <w:pStyle w:val="Akapitzlist"/>
        <w:numPr>
          <w:ilvl w:val="0"/>
          <w:numId w:val="6"/>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Minimum 75 % wyników mieści się w dopuszczalnym przedziale podanym</w:t>
      </w:r>
      <w:r>
        <w:rPr>
          <w:rFonts w:ascii="Arial" w:hAnsi="Arial" w:cs="Arial"/>
          <w:sz w:val="20"/>
          <w:szCs w:val="20"/>
        </w:rPr>
        <w:t xml:space="preserve"> </w:t>
      </w:r>
      <w:r w:rsidRPr="009830EC">
        <w:rPr>
          <w:rFonts w:ascii="Arial" w:hAnsi="Arial" w:cs="Arial"/>
          <w:sz w:val="20"/>
          <w:szCs w:val="20"/>
        </w:rPr>
        <w:t xml:space="preserve">w tablicy 3. </w:t>
      </w:r>
    </w:p>
    <w:p w:rsidR="009830EC" w:rsidRPr="009830EC" w:rsidRDefault="009830EC" w:rsidP="00CC6A1B">
      <w:pPr>
        <w:pStyle w:val="Akapitzlist"/>
        <w:numPr>
          <w:ilvl w:val="0"/>
          <w:numId w:val="6"/>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Maksimum 20 % wyników przekracza dopuszczalny przedział o nie więcej niż 30 % dopuszczalnej wartości podany w tablicy 3. </w:t>
      </w:r>
    </w:p>
    <w:p w:rsidR="009830EC" w:rsidRPr="009830EC" w:rsidRDefault="009830EC" w:rsidP="00CC6A1B">
      <w:pPr>
        <w:pStyle w:val="Akapitzlist"/>
        <w:numPr>
          <w:ilvl w:val="0"/>
          <w:numId w:val="6"/>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Maksimum 5 % wyników przekracza dopuszczalny przedział o więcej niż 30 % dopuszczalnej wartości podany w tablicy 3.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2. Na odcinkach nie spełniających wymagań i uznanych za niezgodne z wymaganiami Wykonawca przedstawi program naprawczy, który musi być zaakceptowany przez Projektanta i Zamawiającego. </w:t>
      </w:r>
    </w:p>
    <w:p w:rsidR="009830EC" w:rsidRPr="009830EC" w:rsidRDefault="009830EC" w:rsidP="009830EC">
      <w:pPr>
        <w:jc w:val="both"/>
        <w:rPr>
          <w:rFonts w:ascii="Arial" w:hAnsi="Arial" w:cs="Arial"/>
          <w:sz w:val="20"/>
          <w:szCs w:val="20"/>
          <w:u w:val="single"/>
        </w:rPr>
      </w:pPr>
      <w:r w:rsidRPr="009830EC">
        <w:rPr>
          <w:rFonts w:ascii="Arial" w:hAnsi="Arial" w:cs="Arial"/>
          <w:sz w:val="20"/>
          <w:szCs w:val="20"/>
          <w:u w:val="single"/>
        </w:rPr>
        <w:t xml:space="preserve">Niewłaściwa nośność wykonanej warstwy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1. W przypadku oceny nośności wykonanej warstwy należy do oceny wyników wykorzystać średnią wartość uzyskaną z całego odcinka. Wyniki należy uznać za akceptowalne, gdy jednocześnie: </w:t>
      </w:r>
    </w:p>
    <w:p w:rsidR="009830EC" w:rsidRPr="009830EC" w:rsidRDefault="009830EC" w:rsidP="00CC6A1B">
      <w:pPr>
        <w:pStyle w:val="Akapitzlist"/>
        <w:numPr>
          <w:ilvl w:val="0"/>
          <w:numId w:val="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Wartość średnia jest większa od minimalnej wymaganej wartości podanej w tablicy 4.</w:t>
      </w:r>
    </w:p>
    <w:p w:rsidR="009830EC" w:rsidRPr="009830EC" w:rsidRDefault="009830EC" w:rsidP="00CC6A1B">
      <w:pPr>
        <w:pStyle w:val="Akapitzlist"/>
        <w:numPr>
          <w:ilvl w:val="0"/>
          <w:numId w:val="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Minimum 80 % wyników jest większych od wymaganej wartości minimalnej podanej w tablicy 4.</w:t>
      </w:r>
    </w:p>
    <w:p w:rsidR="009830EC" w:rsidRPr="009830EC" w:rsidRDefault="009830EC" w:rsidP="00CC6A1B">
      <w:pPr>
        <w:pStyle w:val="Akapitzlist"/>
        <w:numPr>
          <w:ilvl w:val="0"/>
          <w:numId w:val="5"/>
        </w:numPr>
        <w:suppressAutoHyphens w:val="0"/>
        <w:autoSpaceDE w:val="0"/>
        <w:autoSpaceDN w:val="0"/>
        <w:spacing w:before="120"/>
        <w:contextualSpacing w:val="0"/>
        <w:jc w:val="both"/>
        <w:rPr>
          <w:rFonts w:ascii="Arial" w:hAnsi="Arial" w:cs="Arial"/>
          <w:sz w:val="20"/>
          <w:szCs w:val="20"/>
        </w:rPr>
      </w:pPr>
      <w:r w:rsidRPr="009830EC">
        <w:rPr>
          <w:rFonts w:ascii="Arial" w:hAnsi="Arial" w:cs="Arial"/>
          <w:sz w:val="20"/>
          <w:szCs w:val="20"/>
        </w:rPr>
        <w:t xml:space="preserve">Maksimum 20 % wyników jest mniejsza od wymaganych minimalnych wartości o nie więcej niż 15 </w:t>
      </w:r>
      <w:proofErr w:type="spellStart"/>
      <w:r w:rsidRPr="009830EC">
        <w:rPr>
          <w:rFonts w:ascii="Arial" w:hAnsi="Arial" w:cs="Arial"/>
          <w:sz w:val="20"/>
          <w:szCs w:val="20"/>
        </w:rPr>
        <w:t>MPa</w:t>
      </w:r>
      <w:proofErr w:type="spellEnd"/>
      <w:r w:rsidRPr="009830EC">
        <w:rPr>
          <w:rFonts w:ascii="Arial" w:hAnsi="Arial" w:cs="Arial"/>
          <w:sz w:val="20"/>
          <w:szCs w:val="20"/>
        </w:rPr>
        <w:t xml:space="preserve"> podanych w tablicy 4. </w:t>
      </w:r>
    </w:p>
    <w:p w:rsidR="009830EC" w:rsidRPr="009830EC" w:rsidRDefault="009830EC" w:rsidP="009830EC">
      <w:pPr>
        <w:ind w:left="709"/>
        <w:jc w:val="both"/>
        <w:rPr>
          <w:rFonts w:ascii="Arial" w:hAnsi="Arial" w:cs="Arial"/>
          <w:sz w:val="20"/>
          <w:szCs w:val="20"/>
        </w:rPr>
      </w:pPr>
      <w:r w:rsidRPr="009830EC">
        <w:rPr>
          <w:rFonts w:ascii="Arial" w:hAnsi="Arial" w:cs="Arial"/>
          <w:sz w:val="20"/>
          <w:szCs w:val="20"/>
        </w:rPr>
        <w:t xml:space="preserve">2. Na odcinkach nie spełniających wymagań i uznanych za niezgodne z wymaganiami, Wykonawca przedstawi program naprawczy, który musi być zaakceptowany przez Projektanta i Zamawiającego. </w:t>
      </w:r>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t>7. OBMIAR ROBÓT</w:t>
      </w:r>
      <w:bookmarkEnd w:id="15"/>
      <w:bookmarkEnd w:id="16"/>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t>7.1. Ogólne zasady obmiaru robót</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Ogólne zasady obmiaru robót podano w ST D-M-00.00.00  „Wymagania ogólne” pkt 7.</w:t>
      </w:r>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t>7.2. Jednostka obmiarowa</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Jednostką obmiarową jest m</w:t>
      </w:r>
      <w:r w:rsidRPr="009830EC">
        <w:rPr>
          <w:rFonts w:ascii="Arial" w:hAnsi="Arial" w:cs="Arial"/>
          <w:sz w:val="20"/>
          <w:szCs w:val="20"/>
          <w:vertAlign w:val="superscript"/>
        </w:rPr>
        <w:t>2</w:t>
      </w:r>
      <w:r w:rsidRPr="009830EC">
        <w:rPr>
          <w:rFonts w:ascii="Arial" w:hAnsi="Arial" w:cs="Arial"/>
          <w:sz w:val="20"/>
          <w:szCs w:val="20"/>
        </w:rPr>
        <w:t xml:space="preserve"> (metr kwadratowy) podbudowy z mieszanki MCE.</w:t>
      </w:r>
    </w:p>
    <w:p w:rsidR="009830EC" w:rsidRPr="009830EC" w:rsidRDefault="009830EC" w:rsidP="009830EC">
      <w:pPr>
        <w:pStyle w:val="Nagwek2"/>
        <w:numPr>
          <w:ilvl w:val="12"/>
          <w:numId w:val="0"/>
        </w:numPr>
        <w:spacing w:before="240"/>
        <w:jc w:val="both"/>
        <w:rPr>
          <w:rFonts w:ascii="Arial" w:hAnsi="Arial" w:cs="Arial"/>
          <w:sz w:val="20"/>
          <w:szCs w:val="20"/>
        </w:rPr>
      </w:pPr>
      <w:bookmarkStart w:id="17" w:name="_Toc451053283"/>
      <w:bookmarkStart w:id="18" w:name="_Toc498839499"/>
      <w:r w:rsidRPr="009830EC">
        <w:rPr>
          <w:rFonts w:ascii="Arial" w:hAnsi="Arial" w:cs="Arial"/>
          <w:sz w:val="20"/>
          <w:szCs w:val="20"/>
        </w:rPr>
        <w:t>8. ODBIÓR ROBÓT</w:t>
      </w:r>
      <w:bookmarkEnd w:id="17"/>
      <w:bookmarkEnd w:id="18"/>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Ogólne zasady odbioru robót podano w  ST D-M-00.00.00 „Wymagania ogólne” pkt 8.</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 xml:space="preserve">Roboty uznaje się za wykonane zgodnie z dokumentacją projektową i ST, jeżeli wszystkie pomiary i badania z zachowaniem tolerancji wg </w:t>
      </w:r>
      <w:proofErr w:type="spellStart"/>
      <w:r w:rsidRPr="009830EC">
        <w:rPr>
          <w:rFonts w:ascii="Arial" w:hAnsi="Arial" w:cs="Arial"/>
          <w:sz w:val="20"/>
          <w:szCs w:val="20"/>
        </w:rPr>
        <w:t>pktu</w:t>
      </w:r>
      <w:proofErr w:type="spellEnd"/>
      <w:r w:rsidRPr="009830EC">
        <w:rPr>
          <w:rFonts w:ascii="Arial" w:hAnsi="Arial" w:cs="Arial"/>
          <w:sz w:val="20"/>
          <w:szCs w:val="20"/>
        </w:rPr>
        <w:t xml:space="preserve"> 6 dały wyniki pozytywne.</w:t>
      </w:r>
    </w:p>
    <w:p w:rsidR="009830EC" w:rsidRPr="009830EC" w:rsidRDefault="009830EC" w:rsidP="009830EC">
      <w:pPr>
        <w:pStyle w:val="Nagwek2"/>
        <w:numPr>
          <w:ilvl w:val="12"/>
          <w:numId w:val="0"/>
        </w:numPr>
        <w:spacing w:before="240"/>
        <w:jc w:val="both"/>
        <w:rPr>
          <w:rFonts w:ascii="Arial" w:hAnsi="Arial" w:cs="Arial"/>
          <w:sz w:val="20"/>
          <w:szCs w:val="20"/>
        </w:rPr>
      </w:pPr>
      <w:bookmarkStart w:id="19" w:name="_Toc451053284"/>
      <w:bookmarkStart w:id="20" w:name="_Toc498839500"/>
      <w:r w:rsidRPr="009830EC">
        <w:rPr>
          <w:rFonts w:ascii="Arial" w:hAnsi="Arial" w:cs="Arial"/>
          <w:sz w:val="20"/>
          <w:szCs w:val="20"/>
        </w:rPr>
        <w:t>9. PODSTAWA PŁATNOŚCI</w:t>
      </w:r>
      <w:bookmarkEnd w:id="19"/>
      <w:bookmarkEnd w:id="20"/>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t>9.1. Ogólne ustalenia dotyczące podstawy płatności</w:t>
      </w:r>
    </w:p>
    <w:p w:rsidR="009830EC" w:rsidRPr="009830EC" w:rsidRDefault="009830EC" w:rsidP="009830EC">
      <w:pPr>
        <w:pStyle w:val="Tekstpodstawowy"/>
        <w:jc w:val="both"/>
        <w:rPr>
          <w:rFonts w:ascii="Arial" w:hAnsi="Arial" w:cs="Arial"/>
          <w:sz w:val="20"/>
          <w:szCs w:val="20"/>
        </w:rPr>
      </w:pPr>
      <w:r w:rsidRPr="009830EC">
        <w:rPr>
          <w:rFonts w:ascii="Arial" w:hAnsi="Arial" w:cs="Arial"/>
          <w:sz w:val="20"/>
          <w:szCs w:val="20"/>
        </w:rPr>
        <w:t>Ogólne ustalenia dotyczące podstawy płatności podano w ST D-M-00.00.00 „Wymagania ogólne” pkt  9.</w:t>
      </w:r>
    </w:p>
    <w:p w:rsidR="009830EC" w:rsidRPr="009830EC" w:rsidRDefault="009830EC" w:rsidP="009830EC">
      <w:pPr>
        <w:pStyle w:val="Nagwek2"/>
        <w:numPr>
          <w:ilvl w:val="12"/>
          <w:numId w:val="0"/>
        </w:numPr>
        <w:spacing w:before="240"/>
        <w:jc w:val="both"/>
        <w:rPr>
          <w:rFonts w:ascii="Arial" w:hAnsi="Arial" w:cs="Arial"/>
          <w:sz w:val="20"/>
          <w:szCs w:val="20"/>
        </w:rPr>
      </w:pPr>
      <w:r w:rsidRPr="009830EC">
        <w:rPr>
          <w:rFonts w:ascii="Arial" w:hAnsi="Arial" w:cs="Arial"/>
          <w:sz w:val="20"/>
          <w:szCs w:val="20"/>
        </w:rPr>
        <w:t>9.2.Cena jednostki obmiarowej</w:t>
      </w:r>
    </w:p>
    <w:p w:rsidR="009830EC" w:rsidRPr="009379C4" w:rsidRDefault="009830EC" w:rsidP="009830EC">
      <w:pPr>
        <w:pStyle w:val="tekstost"/>
        <w:jc w:val="both"/>
        <w:rPr>
          <w:rFonts w:ascii="Arial" w:hAnsi="Arial" w:cs="Arial"/>
          <w:sz w:val="20"/>
          <w:szCs w:val="20"/>
        </w:rPr>
      </w:pPr>
      <w:r w:rsidRPr="009830EC">
        <w:rPr>
          <w:rFonts w:ascii="Arial" w:hAnsi="Arial" w:cs="Arial"/>
          <w:b/>
          <w:sz w:val="20"/>
          <w:szCs w:val="20"/>
        </w:rPr>
        <w:t>9.2.1.</w:t>
      </w:r>
      <w:r w:rsidRPr="009830EC">
        <w:rPr>
          <w:rFonts w:ascii="Arial" w:hAnsi="Arial" w:cs="Arial"/>
          <w:sz w:val="20"/>
          <w:szCs w:val="20"/>
        </w:rPr>
        <w:tab/>
        <w:t>Cena wykonania 1m</w:t>
      </w:r>
      <w:r w:rsidRPr="009830EC">
        <w:rPr>
          <w:rFonts w:ascii="Arial" w:hAnsi="Arial" w:cs="Arial"/>
          <w:sz w:val="20"/>
          <w:szCs w:val="20"/>
          <w:vertAlign w:val="superscript"/>
        </w:rPr>
        <w:t>2</w:t>
      </w:r>
      <w:r w:rsidRPr="009830EC">
        <w:rPr>
          <w:rFonts w:ascii="Arial" w:hAnsi="Arial" w:cs="Arial"/>
          <w:sz w:val="20"/>
          <w:szCs w:val="20"/>
        </w:rPr>
        <w:t xml:space="preserve"> podbudowy z mieszanki MCE, wykona</w:t>
      </w:r>
      <w:r w:rsidR="00DB49F1">
        <w:rPr>
          <w:rFonts w:ascii="Arial" w:hAnsi="Arial" w:cs="Arial"/>
          <w:sz w:val="20"/>
          <w:szCs w:val="20"/>
        </w:rPr>
        <w:t>nej metodą recyklingu z dowozem</w:t>
      </w:r>
      <w:r w:rsidRPr="009830EC">
        <w:rPr>
          <w:rFonts w:ascii="Arial" w:hAnsi="Arial" w:cs="Arial"/>
          <w:sz w:val="20"/>
          <w:szCs w:val="20"/>
        </w:rPr>
        <w:t xml:space="preserve"> , </w:t>
      </w:r>
      <w:r w:rsidRPr="009379C4">
        <w:rPr>
          <w:rFonts w:ascii="Arial" w:hAnsi="Arial" w:cs="Arial"/>
          <w:sz w:val="20"/>
          <w:szCs w:val="20"/>
        </w:rPr>
        <w:t>obejmuje :</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prace pomiarowe i roboty przygotowawcze,</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oznakowanie robót,</w:t>
      </w:r>
    </w:p>
    <w:p w:rsidR="009830EC" w:rsidRPr="009379C4" w:rsidRDefault="00FA2D1E"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 xml:space="preserve">zakup i </w:t>
      </w:r>
      <w:r w:rsidR="009830EC" w:rsidRPr="009379C4">
        <w:rPr>
          <w:rFonts w:ascii="Arial" w:hAnsi="Arial" w:cs="Arial"/>
          <w:sz w:val="20"/>
          <w:szCs w:val="20"/>
        </w:rPr>
        <w:t xml:space="preserve">dostarczenie materiałów (mieszanki </w:t>
      </w:r>
      <w:proofErr w:type="spellStart"/>
      <w:r w:rsidR="009830EC" w:rsidRPr="009379C4">
        <w:rPr>
          <w:rFonts w:ascii="Arial" w:hAnsi="Arial" w:cs="Arial"/>
          <w:sz w:val="20"/>
          <w:szCs w:val="20"/>
        </w:rPr>
        <w:t>doziarniającej</w:t>
      </w:r>
      <w:proofErr w:type="spellEnd"/>
      <w:r w:rsidR="009830EC" w:rsidRPr="009379C4">
        <w:rPr>
          <w:rFonts w:ascii="Arial" w:hAnsi="Arial" w:cs="Arial"/>
          <w:sz w:val="20"/>
          <w:szCs w:val="20"/>
        </w:rPr>
        <w:t>, cementu, emulsji i wody</w:t>
      </w:r>
      <w:r w:rsidR="00F56D78" w:rsidRPr="009379C4">
        <w:rPr>
          <w:rFonts w:ascii="Arial" w:hAnsi="Arial" w:cs="Arial"/>
          <w:sz w:val="20"/>
          <w:szCs w:val="20"/>
        </w:rPr>
        <w:t xml:space="preserve"> oraz materiału w ilości koniecznej do wykonania projektowanej warstwy z MCE</w:t>
      </w:r>
      <w:r w:rsidR="009830EC" w:rsidRPr="009379C4">
        <w:rPr>
          <w:rFonts w:ascii="Arial" w:hAnsi="Arial" w:cs="Arial"/>
          <w:sz w:val="20"/>
          <w:szCs w:val="20"/>
        </w:rPr>
        <w:t>),</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 xml:space="preserve">rozłożenie mieszanki </w:t>
      </w:r>
      <w:proofErr w:type="spellStart"/>
      <w:r w:rsidRPr="009379C4">
        <w:rPr>
          <w:rFonts w:ascii="Arial" w:hAnsi="Arial" w:cs="Arial"/>
          <w:sz w:val="20"/>
          <w:szCs w:val="20"/>
        </w:rPr>
        <w:t>doziarniającej</w:t>
      </w:r>
      <w:proofErr w:type="spellEnd"/>
      <w:r w:rsidRPr="009379C4">
        <w:rPr>
          <w:rFonts w:ascii="Arial" w:hAnsi="Arial" w:cs="Arial"/>
          <w:sz w:val="20"/>
          <w:szCs w:val="20"/>
        </w:rPr>
        <w:t xml:space="preserve"> i cementu,</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 xml:space="preserve">frezowanie starej nawierzchni i mieszanie z mieszanką </w:t>
      </w:r>
      <w:proofErr w:type="spellStart"/>
      <w:r w:rsidRPr="009379C4">
        <w:rPr>
          <w:rFonts w:ascii="Arial" w:hAnsi="Arial" w:cs="Arial"/>
          <w:sz w:val="20"/>
          <w:szCs w:val="20"/>
        </w:rPr>
        <w:t>doziarniającą</w:t>
      </w:r>
      <w:proofErr w:type="spellEnd"/>
      <w:r w:rsidRPr="009379C4">
        <w:rPr>
          <w:rFonts w:ascii="Arial" w:hAnsi="Arial" w:cs="Arial"/>
          <w:sz w:val="20"/>
          <w:szCs w:val="20"/>
        </w:rPr>
        <w:t>,</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lastRenderedPageBreak/>
        <w:t>przetworzenie mieszanki z dodaniem cementu, wody i emulsji,</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zagęszczenie mieszanki MCE,</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przeprowadzenie pomiarów i badań laboratoryjnych, wymaganych w specyfikacji technicznej.</w:t>
      </w:r>
    </w:p>
    <w:p w:rsidR="00E503C8" w:rsidRPr="009379C4" w:rsidRDefault="00E503C8" w:rsidP="00E503C8">
      <w:pPr>
        <w:pStyle w:val="Tekstpodstawowy"/>
        <w:widowControl/>
        <w:suppressAutoHyphens w:val="0"/>
        <w:overflowPunct w:val="0"/>
        <w:autoSpaceDE w:val="0"/>
        <w:autoSpaceDN w:val="0"/>
        <w:adjustRightInd w:val="0"/>
        <w:spacing w:after="0"/>
        <w:jc w:val="both"/>
        <w:textAlignment w:val="baseline"/>
        <w:rPr>
          <w:rFonts w:ascii="Arial" w:hAnsi="Arial" w:cs="Arial"/>
          <w:sz w:val="20"/>
          <w:szCs w:val="20"/>
        </w:rPr>
      </w:pPr>
    </w:p>
    <w:p w:rsidR="009830EC" w:rsidRPr="009379C4" w:rsidRDefault="009830EC" w:rsidP="00CC6A1B">
      <w:pPr>
        <w:pStyle w:val="Tekstpodstawowy"/>
        <w:widowControl/>
        <w:numPr>
          <w:ilvl w:val="2"/>
          <w:numId w:val="3"/>
        </w:numPr>
        <w:suppressAutoHyphens w:val="0"/>
        <w:overflowPunct w:val="0"/>
        <w:autoSpaceDE w:val="0"/>
        <w:autoSpaceDN w:val="0"/>
        <w:adjustRightInd w:val="0"/>
        <w:spacing w:after="0"/>
        <w:jc w:val="both"/>
        <w:textAlignment w:val="baseline"/>
        <w:rPr>
          <w:rFonts w:ascii="Arial" w:hAnsi="Arial" w:cs="Arial"/>
          <w:sz w:val="20"/>
          <w:szCs w:val="20"/>
        </w:rPr>
      </w:pPr>
      <w:r w:rsidRPr="009379C4">
        <w:rPr>
          <w:rFonts w:ascii="Arial" w:hAnsi="Arial" w:cs="Arial"/>
          <w:sz w:val="20"/>
          <w:szCs w:val="20"/>
        </w:rPr>
        <w:t>Cena wykonania 1 m</w:t>
      </w:r>
      <w:r w:rsidR="009379C4" w:rsidRPr="009379C4">
        <w:rPr>
          <w:rFonts w:ascii="Arial" w:hAnsi="Arial" w:cs="Arial"/>
          <w:sz w:val="20"/>
          <w:szCs w:val="20"/>
          <w:vertAlign w:val="superscript"/>
        </w:rPr>
        <w:t>2</w:t>
      </w:r>
      <w:r w:rsidRPr="009379C4">
        <w:rPr>
          <w:rFonts w:ascii="Arial" w:hAnsi="Arial" w:cs="Arial"/>
          <w:sz w:val="20"/>
          <w:szCs w:val="20"/>
        </w:rPr>
        <w:t xml:space="preserve"> podbudowy z mieszanki MCE, wytworzonej w wytwórni, obejmuje :</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prace pomiarowe i roboty przygotowawcze,</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oznakowanie robót,</w:t>
      </w:r>
    </w:p>
    <w:p w:rsidR="009830EC" w:rsidRPr="009379C4" w:rsidRDefault="00FA2D1E" w:rsidP="00FD3119">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 xml:space="preserve">zakup i </w:t>
      </w:r>
      <w:r w:rsidR="009830EC" w:rsidRPr="009379C4">
        <w:rPr>
          <w:rFonts w:ascii="Arial" w:hAnsi="Arial" w:cs="Arial"/>
          <w:sz w:val="20"/>
          <w:szCs w:val="20"/>
        </w:rPr>
        <w:t xml:space="preserve">dostarczenie materiałów </w:t>
      </w:r>
      <w:r w:rsidR="00FD3119" w:rsidRPr="009379C4">
        <w:rPr>
          <w:rFonts w:ascii="Arial" w:hAnsi="Arial" w:cs="Arial"/>
          <w:sz w:val="20"/>
          <w:szCs w:val="20"/>
        </w:rPr>
        <w:t xml:space="preserve">(mieszanki </w:t>
      </w:r>
      <w:proofErr w:type="spellStart"/>
      <w:r w:rsidR="00FD3119" w:rsidRPr="009379C4">
        <w:rPr>
          <w:rFonts w:ascii="Arial" w:hAnsi="Arial" w:cs="Arial"/>
          <w:sz w:val="20"/>
          <w:szCs w:val="20"/>
        </w:rPr>
        <w:t>doziarniającej</w:t>
      </w:r>
      <w:proofErr w:type="spellEnd"/>
      <w:r w:rsidR="00FD3119" w:rsidRPr="009379C4">
        <w:rPr>
          <w:rFonts w:ascii="Arial" w:hAnsi="Arial" w:cs="Arial"/>
          <w:sz w:val="20"/>
          <w:szCs w:val="20"/>
        </w:rPr>
        <w:t>, cementu, emulsji i wody oraz materiału w ilości koniecznej do wykonania projektowanej warstwy z MCE),</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frezowanie starej nawierzchni,</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transport destruktu do wytwórni,</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wyprodukowanie mieszanki MCE i jej transport na miejsce wbudowania,</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rozłożenie i zagęszczenie mieszanki MCE,</w:t>
      </w:r>
    </w:p>
    <w:p w:rsidR="009830EC" w:rsidRPr="009379C4" w:rsidRDefault="009830EC" w:rsidP="00CC6A1B">
      <w:pPr>
        <w:pStyle w:val="Tekstpodstawowy"/>
        <w:widowControl/>
        <w:numPr>
          <w:ilvl w:val="0"/>
          <w:numId w:val="2"/>
        </w:numPr>
        <w:suppressAutoHyphens w:val="0"/>
        <w:overflowPunct w:val="0"/>
        <w:autoSpaceDE w:val="0"/>
        <w:autoSpaceDN w:val="0"/>
        <w:adjustRightInd w:val="0"/>
        <w:spacing w:after="0"/>
        <w:ind w:left="0" w:firstLine="0"/>
        <w:jc w:val="both"/>
        <w:textAlignment w:val="baseline"/>
        <w:rPr>
          <w:rFonts w:ascii="Arial" w:hAnsi="Arial" w:cs="Arial"/>
          <w:sz w:val="20"/>
          <w:szCs w:val="20"/>
        </w:rPr>
      </w:pPr>
      <w:r w:rsidRPr="009379C4">
        <w:rPr>
          <w:rFonts w:ascii="Arial" w:hAnsi="Arial" w:cs="Arial"/>
          <w:sz w:val="20"/>
          <w:szCs w:val="20"/>
        </w:rPr>
        <w:t>przeprowadzenie pomiarów i badań laboratoryjnych, wymaganych w specyfikacji technicznej.</w:t>
      </w:r>
    </w:p>
    <w:p w:rsidR="009830EC" w:rsidRPr="009830EC" w:rsidRDefault="009830EC" w:rsidP="009830EC">
      <w:pPr>
        <w:pStyle w:val="Nagwek2"/>
        <w:numPr>
          <w:ilvl w:val="12"/>
          <w:numId w:val="0"/>
        </w:numPr>
        <w:spacing w:before="240"/>
        <w:jc w:val="both"/>
        <w:rPr>
          <w:rFonts w:ascii="Arial" w:hAnsi="Arial" w:cs="Arial"/>
          <w:sz w:val="20"/>
          <w:szCs w:val="20"/>
        </w:rPr>
      </w:pPr>
      <w:bookmarkStart w:id="21" w:name="_Toc451053285"/>
      <w:bookmarkStart w:id="22" w:name="_Toc498839501"/>
      <w:r w:rsidRPr="009830EC">
        <w:rPr>
          <w:rFonts w:ascii="Arial" w:hAnsi="Arial" w:cs="Arial"/>
          <w:sz w:val="20"/>
          <w:szCs w:val="20"/>
        </w:rPr>
        <w:t>10. PRZEPISY ZWIĄZANE</w:t>
      </w:r>
      <w:bookmarkEnd w:id="21"/>
      <w:bookmarkEnd w:id="22"/>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 PN-EN 197-1 „Cement. Część 1. Skład, wymagania i kryteria zgodności dotyczące cementów powszechnego użytku”.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[2]. PN-EN 933-11 „Badania geometrycznych właściwości kruszyw -- Część 11: Klasyfikacja składników kruszywa grubego z recyklingu”.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[3]. PN-EN-1008 „Woda zarobowa do betonu. Specyfikacja pobierania próbek, badania i ocena przydatności wody zarobowej do betonu w tym wody odzyskanej z procesów produkcji betonu”.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[4]. PN-EN 12591 „Asfalty i lepiszcza asfaltowe. Wymagania dla asfaltów drogowych”.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[5]. PN-EN 12697-5 „Mieszanki mineralno-asfaltowe. Metody badań mieszanek mineralno-asfaltowych na gorąco. Część 5: Oznaczanie gęstości”.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[6]. PN-EN 12697-6 „Mieszanki mineralno-asfaltowe. Metody badania mieszanek mineralno-asfaltowych na gorąco. Część 8: Oznaczanie gęstości objętościowej próbek mieszanki mineralno-asfaltowej”.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[7]. PN-EN 12697-8 „Mieszanki mineralno-asfaltowe. Metody badania mieszanek mineralno-asfaltowych na gorąco. Część 8: Oznaczanie zawartości wolnej przestrzeni”.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[8]. PN-EN 12697-23 „Mieszanki mineralno-asfaltowe. Metody badań mieszanek mineralno-asfaltowych na gorąco. Część 23: Oznaczanie wytrzymałości mieszanki mineralno-asfaltowej na rozciąganie pośrednie”.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[9]. PN-EN 12697-26 „Mieszanki mineralno-asfaltowe. Metody badań mieszanek mineralno-asfaltowych na gorąco. Część 26: Sztywność”.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[10]. PN-EN 12697-30 „Mieszanki mineralno-asfaltowe. Metody badań mieszanek mineralno-asfaltowych na gorąco. Część 30: Przygotowanie próbek zagęszczonych przez ubijanie”.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[11]. PN-EN 12697-36 „Mieszanki mineralno-asfaltowe. Metody badań mieszanek mineralno-asfaltowych na gorąco. Część 36: Oznaczanie grubości nawierzchni asfaltowych”.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[12]. PN-EN 13242 „Kruszywa do niezwiązanych i hydraulicznie związanych materiałów stosowanych w obiektach budowlanych i budownictwie drogowym”.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[13]. PN-EN 13282-2 „Mieszanki niezwiązane i związane spoiwem hydraulicznym. Część 2: Metody określania gęstości w odniesieniu do zawartości wody. Zagęszczanie metodą </w:t>
      </w:r>
      <w:proofErr w:type="spellStart"/>
      <w:r w:rsidRPr="009830EC">
        <w:rPr>
          <w:rFonts w:ascii="Arial" w:hAnsi="Arial" w:cs="Arial"/>
          <w:sz w:val="20"/>
          <w:szCs w:val="20"/>
        </w:rPr>
        <w:t>Proktora</w:t>
      </w:r>
      <w:proofErr w:type="spellEnd"/>
      <w:r w:rsidRPr="009830EC">
        <w:rPr>
          <w:rFonts w:ascii="Arial" w:hAnsi="Arial" w:cs="Arial"/>
          <w:sz w:val="20"/>
          <w:szCs w:val="20"/>
        </w:rPr>
        <w:t xml:space="preserve">”.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[14]. PN-EN 13808 „Asfalty i lepiszcza asfaltowe. Zasady klasyfikacji kationowych emulsji asfaltowych”.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[15]. PN-EN 12848 „Asfalty i lepiszcza asfaltowe. Oznaczanie stabilności emulsji asfaltowych podczas mieszania z cementem”.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[16]. PN-S-02205:1998 „Drogi samochodowe. Roboty ziemne”. </w:t>
      </w:r>
    </w:p>
    <w:p w:rsidR="009830EC" w:rsidRPr="009830EC" w:rsidRDefault="009830EC" w:rsidP="009830EC">
      <w:pPr>
        <w:jc w:val="both"/>
        <w:rPr>
          <w:rFonts w:ascii="Arial" w:hAnsi="Arial" w:cs="Arial"/>
          <w:sz w:val="20"/>
          <w:szCs w:val="20"/>
          <w:lang w:val="en-US"/>
        </w:rPr>
      </w:pPr>
      <w:r w:rsidRPr="009830EC">
        <w:rPr>
          <w:rFonts w:ascii="Arial" w:hAnsi="Arial" w:cs="Arial"/>
          <w:sz w:val="20"/>
          <w:szCs w:val="20"/>
          <w:lang w:val="en-US"/>
        </w:rPr>
        <w:t xml:space="preserve">[17]. ASTM E2835-11 „Standard Test Method for Measuring Deflections using a Portable Impulse Plate Load Test Device”. </w:t>
      </w:r>
    </w:p>
    <w:p w:rsidR="009830EC" w:rsidRPr="009830EC" w:rsidRDefault="009830EC" w:rsidP="009830EC">
      <w:pPr>
        <w:jc w:val="both"/>
        <w:rPr>
          <w:rFonts w:ascii="Arial" w:hAnsi="Arial" w:cs="Arial"/>
          <w:sz w:val="20"/>
          <w:szCs w:val="20"/>
          <w:lang w:val="en-US"/>
        </w:rPr>
      </w:pPr>
      <w:r w:rsidRPr="009830EC">
        <w:rPr>
          <w:rFonts w:ascii="Arial" w:hAnsi="Arial" w:cs="Arial"/>
          <w:sz w:val="20"/>
          <w:szCs w:val="20"/>
          <w:lang w:val="en-US"/>
        </w:rPr>
        <w:t xml:space="preserve">[18]. </w:t>
      </w:r>
      <w:proofErr w:type="spellStart"/>
      <w:r w:rsidRPr="009830EC">
        <w:rPr>
          <w:rFonts w:ascii="Arial" w:hAnsi="Arial" w:cs="Arial"/>
          <w:sz w:val="20"/>
          <w:szCs w:val="20"/>
          <w:lang w:val="en-US"/>
        </w:rPr>
        <w:t>Zusätzliche</w:t>
      </w:r>
      <w:proofErr w:type="spellEnd"/>
      <w:r w:rsidRPr="009830EC">
        <w:rPr>
          <w:rFonts w:ascii="Arial" w:hAnsi="Arial" w:cs="Arial"/>
          <w:sz w:val="20"/>
          <w:szCs w:val="20"/>
          <w:lang w:val="en-US"/>
        </w:rPr>
        <w:t xml:space="preserve"> </w:t>
      </w:r>
      <w:proofErr w:type="spellStart"/>
      <w:r w:rsidRPr="009830EC">
        <w:rPr>
          <w:rFonts w:ascii="Arial" w:hAnsi="Arial" w:cs="Arial"/>
          <w:sz w:val="20"/>
          <w:szCs w:val="20"/>
          <w:lang w:val="en-US"/>
        </w:rPr>
        <w:t>Technische</w:t>
      </w:r>
      <w:proofErr w:type="spellEnd"/>
      <w:r w:rsidRPr="009830EC">
        <w:rPr>
          <w:rFonts w:ascii="Arial" w:hAnsi="Arial" w:cs="Arial"/>
          <w:sz w:val="20"/>
          <w:szCs w:val="20"/>
          <w:lang w:val="en-US"/>
        </w:rPr>
        <w:t xml:space="preserve"> </w:t>
      </w:r>
      <w:proofErr w:type="spellStart"/>
      <w:r w:rsidRPr="009830EC">
        <w:rPr>
          <w:rFonts w:ascii="Arial" w:hAnsi="Arial" w:cs="Arial"/>
          <w:sz w:val="20"/>
          <w:szCs w:val="20"/>
          <w:lang w:val="en-US"/>
        </w:rPr>
        <w:t>Vertragsbedingungen</w:t>
      </w:r>
      <w:proofErr w:type="spellEnd"/>
      <w:r w:rsidRPr="009830EC">
        <w:rPr>
          <w:rFonts w:ascii="Arial" w:hAnsi="Arial" w:cs="Arial"/>
          <w:sz w:val="20"/>
          <w:szCs w:val="20"/>
          <w:lang w:val="en-US"/>
        </w:rPr>
        <w:t xml:space="preserve"> und </w:t>
      </w:r>
      <w:proofErr w:type="spellStart"/>
      <w:r w:rsidRPr="009830EC">
        <w:rPr>
          <w:rFonts w:ascii="Arial" w:hAnsi="Arial" w:cs="Arial"/>
          <w:sz w:val="20"/>
          <w:szCs w:val="20"/>
          <w:lang w:val="en-US"/>
        </w:rPr>
        <w:t>Richtlinien</w:t>
      </w:r>
      <w:proofErr w:type="spellEnd"/>
      <w:r w:rsidRPr="009830EC">
        <w:rPr>
          <w:rFonts w:ascii="Arial" w:hAnsi="Arial" w:cs="Arial"/>
          <w:sz w:val="20"/>
          <w:szCs w:val="20"/>
          <w:lang w:val="en-US"/>
        </w:rPr>
        <w:t xml:space="preserve"> </w:t>
      </w:r>
      <w:proofErr w:type="spellStart"/>
      <w:r w:rsidRPr="009830EC">
        <w:rPr>
          <w:rFonts w:ascii="Arial" w:hAnsi="Arial" w:cs="Arial"/>
          <w:sz w:val="20"/>
          <w:szCs w:val="20"/>
          <w:lang w:val="en-US"/>
        </w:rPr>
        <w:t>für</w:t>
      </w:r>
      <w:proofErr w:type="spellEnd"/>
      <w:r w:rsidRPr="009830EC">
        <w:rPr>
          <w:rFonts w:ascii="Arial" w:hAnsi="Arial" w:cs="Arial"/>
          <w:sz w:val="20"/>
          <w:szCs w:val="20"/>
          <w:lang w:val="en-US"/>
        </w:rPr>
        <w:t xml:space="preserve"> </w:t>
      </w:r>
      <w:proofErr w:type="spellStart"/>
      <w:r w:rsidRPr="009830EC">
        <w:rPr>
          <w:rFonts w:ascii="Arial" w:hAnsi="Arial" w:cs="Arial"/>
          <w:sz w:val="20"/>
          <w:szCs w:val="20"/>
          <w:lang w:val="en-US"/>
        </w:rPr>
        <w:t>Erdarbeiten</w:t>
      </w:r>
      <w:proofErr w:type="spellEnd"/>
      <w:r w:rsidRPr="009830EC">
        <w:rPr>
          <w:rFonts w:ascii="Arial" w:hAnsi="Arial" w:cs="Arial"/>
          <w:sz w:val="20"/>
          <w:szCs w:val="20"/>
          <w:lang w:val="en-US"/>
        </w:rPr>
        <w:t xml:space="preserve"> </w:t>
      </w:r>
      <w:proofErr w:type="spellStart"/>
      <w:r w:rsidRPr="009830EC">
        <w:rPr>
          <w:rFonts w:ascii="Arial" w:hAnsi="Arial" w:cs="Arial"/>
          <w:sz w:val="20"/>
          <w:szCs w:val="20"/>
          <w:lang w:val="en-US"/>
        </w:rPr>
        <w:t>im</w:t>
      </w:r>
      <w:proofErr w:type="spellEnd"/>
      <w:r w:rsidRPr="009830EC">
        <w:rPr>
          <w:rFonts w:ascii="Arial" w:hAnsi="Arial" w:cs="Arial"/>
          <w:sz w:val="20"/>
          <w:szCs w:val="20"/>
          <w:lang w:val="en-US"/>
        </w:rPr>
        <w:t xml:space="preserve"> </w:t>
      </w:r>
      <w:proofErr w:type="spellStart"/>
      <w:r w:rsidRPr="009830EC">
        <w:rPr>
          <w:rFonts w:ascii="Arial" w:hAnsi="Arial" w:cs="Arial"/>
          <w:sz w:val="20"/>
          <w:szCs w:val="20"/>
          <w:lang w:val="en-US"/>
        </w:rPr>
        <w:t>Straßenbau</w:t>
      </w:r>
      <w:proofErr w:type="spellEnd"/>
      <w:r w:rsidRPr="009830EC">
        <w:rPr>
          <w:rFonts w:ascii="Arial" w:hAnsi="Arial" w:cs="Arial"/>
          <w:sz w:val="20"/>
          <w:szCs w:val="20"/>
          <w:lang w:val="en-US"/>
        </w:rPr>
        <w:t xml:space="preserve"> ZTVE-</w:t>
      </w:r>
      <w:proofErr w:type="spellStart"/>
      <w:r w:rsidRPr="009830EC">
        <w:rPr>
          <w:rFonts w:ascii="Arial" w:hAnsi="Arial" w:cs="Arial"/>
          <w:sz w:val="20"/>
          <w:szCs w:val="20"/>
          <w:lang w:val="en-US"/>
        </w:rPr>
        <w:t>StB</w:t>
      </w:r>
      <w:proofErr w:type="spellEnd"/>
      <w:r w:rsidRPr="009830EC">
        <w:rPr>
          <w:rFonts w:ascii="Arial" w:hAnsi="Arial" w:cs="Arial"/>
          <w:sz w:val="20"/>
          <w:szCs w:val="20"/>
          <w:lang w:val="en-US"/>
        </w:rPr>
        <w:t xml:space="preserve"> 94. </w:t>
      </w:r>
    </w:p>
    <w:p w:rsidR="009830EC" w:rsidRPr="009830EC" w:rsidRDefault="009830EC" w:rsidP="009830EC">
      <w:pPr>
        <w:jc w:val="both"/>
        <w:rPr>
          <w:rFonts w:ascii="Arial" w:hAnsi="Arial" w:cs="Arial"/>
          <w:sz w:val="20"/>
          <w:szCs w:val="20"/>
        </w:rPr>
      </w:pPr>
      <w:r w:rsidRPr="009830EC">
        <w:rPr>
          <w:rFonts w:ascii="Arial" w:hAnsi="Arial" w:cs="Arial"/>
          <w:sz w:val="20"/>
          <w:szCs w:val="20"/>
        </w:rPr>
        <w:t xml:space="preserve">[19]. „Instrukcja projektowania i wbudowania mieszanek mineralno-cementowo-emulsyjnych (MCE)” – aktualizacja instrukcji z 2014 roku. RID I/6 pt. „Wykorzystanie materiałów pochodzących z recyklingu” w wyniku realizacji zadania 4 „Mieszanki mineralno-cementowo-emulsyjne”, 2018 </w:t>
      </w:r>
    </w:p>
    <w:p w:rsidR="009830EC" w:rsidRPr="009830EC" w:rsidRDefault="009830EC" w:rsidP="009830EC">
      <w:pPr>
        <w:jc w:val="both"/>
        <w:rPr>
          <w:rFonts w:ascii="Arial" w:hAnsi="Arial" w:cs="Arial"/>
          <w:sz w:val="20"/>
          <w:szCs w:val="20"/>
        </w:rPr>
      </w:pPr>
      <w:r w:rsidRPr="009830EC">
        <w:rPr>
          <w:rFonts w:ascii="Arial" w:hAnsi="Arial" w:cs="Arial"/>
          <w:sz w:val="20"/>
          <w:szCs w:val="20"/>
        </w:rPr>
        <w:t>[20]. „Zalecenia bezpiecznego stosowania destruktu asfaltowego ze smołą w warstwach wykonanych w technologii mineralno-cementowo-emulsyjnych MCE”, RID I/6 pt. „Wykorzystanie materiałów pochodzących z recyklingu” w wyniku realizacji zadania 4 „Mieszanki mineralno-cementowo-emulsyjne”, 2018</w:t>
      </w:r>
    </w:p>
    <w:p w:rsidR="009830EC" w:rsidRPr="009830EC" w:rsidRDefault="009830EC" w:rsidP="009830EC">
      <w:pPr>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Default="009830EC" w:rsidP="009830EC">
      <w:pPr>
        <w:widowControl/>
        <w:spacing w:after="200" w:line="276" w:lineRule="auto"/>
        <w:jc w:val="both"/>
        <w:rPr>
          <w:rFonts w:ascii="Arial" w:hAnsi="Arial" w:cs="Arial"/>
          <w:sz w:val="20"/>
          <w:szCs w:val="20"/>
        </w:rPr>
      </w:pPr>
    </w:p>
    <w:p w:rsidR="009830EC" w:rsidRPr="009830EC" w:rsidRDefault="009830EC" w:rsidP="009830EC">
      <w:pPr>
        <w:widowControl/>
        <w:spacing w:after="200" w:line="276" w:lineRule="auto"/>
        <w:jc w:val="both"/>
        <w:rPr>
          <w:rFonts w:ascii="Arial" w:hAnsi="Arial" w:cs="Arial"/>
          <w:sz w:val="20"/>
          <w:szCs w:val="20"/>
        </w:rPr>
      </w:pPr>
    </w:p>
    <w:sectPr w:rsidR="009830EC" w:rsidRPr="009830EC" w:rsidSect="00C03868">
      <w:headerReference w:type="even" r:id="rId16"/>
      <w:headerReference w:type="default" r:id="rId17"/>
      <w:footerReference w:type="even" r:id="rId18"/>
      <w:footerReference w:type="default" r:id="rId19"/>
      <w:footnotePr>
        <w:pos w:val="beneathText"/>
      </w:footnotePr>
      <w:pgSz w:w="11905" w:h="16837"/>
      <w:pgMar w:top="1290" w:right="1134" w:bottom="1422" w:left="1134" w:header="435" w:footer="8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67E" w:rsidRDefault="0081067E">
      <w:r>
        <w:separator/>
      </w:r>
    </w:p>
  </w:endnote>
  <w:endnote w:type="continuationSeparator" w:id="0">
    <w:p w:rsidR="0081067E" w:rsidRDefault="0081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02"/>
    <w:family w:val="auto"/>
    <w:pitch w:val="default"/>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C27" w:rsidRPr="008E018E" w:rsidRDefault="0081067E" w:rsidP="008E018E">
    <w:pPr>
      <w:pStyle w:val="Stopka"/>
      <w:rPr>
        <w:rFonts w:ascii="Arial" w:hAnsi="Arial"/>
        <w:i/>
        <w:iCs/>
        <w:sz w:val="16"/>
        <w:szCs w:val="16"/>
      </w:rPr>
    </w:pPr>
    <w:r>
      <w:rPr>
        <w:sz w:val="16"/>
        <w:szCs w:val="16"/>
      </w:rPr>
      <w:pict>
        <v:line id="_x0000_s2055" style="position:absolute;z-index:251657216" from="-1.85pt,-5.75pt" to="480.4pt,-5.75pt"/>
      </w:pict>
    </w:r>
    <w:r w:rsidR="00AD1C27">
      <w:rPr>
        <w:rFonts w:ascii="Arial" w:hAnsi="Arial"/>
        <w:i/>
        <w:iCs/>
        <w:sz w:val="16"/>
        <w:szCs w:val="16"/>
      </w:rPr>
      <w:t xml:space="preserve"> </w:t>
    </w:r>
    <w:r w:rsidR="006D7A73" w:rsidRPr="008E018E">
      <w:rPr>
        <w:rFonts w:ascii="Arial" w:hAnsi="Arial" w:cs="Arial"/>
        <w:i/>
        <w:iCs/>
        <w:sz w:val="16"/>
        <w:szCs w:val="16"/>
      </w:rPr>
      <w:fldChar w:fldCharType="begin"/>
    </w:r>
    <w:r w:rsidR="00AD1C27" w:rsidRPr="008E018E">
      <w:rPr>
        <w:rFonts w:ascii="Arial" w:hAnsi="Arial" w:cs="Arial"/>
        <w:i/>
        <w:iCs/>
        <w:sz w:val="16"/>
        <w:szCs w:val="16"/>
      </w:rPr>
      <w:instrText xml:space="preserve"> PAGE </w:instrText>
    </w:r>
    <w:r w:rsidR="006D7A73" w:rsidRPr="008E018E">
      <w:rPr>
        <w:rFonts w:ascii="Arial" w:hAnsi="Arial" w:cs="Arial"/>
        <w:i/>
        <w:iCs/>
        <w:sz w:val="16"/>
        <w:szCs w:val="16"/>
      </w:rPr>
      <w:fldChar w:fldCharType="separate"/>
    </w:r>
    <w:r w:rsidR="009A6141">
      <w:rPr>
        <w:rFonts w:ascii="Arial" w:hAnsi="Arial" w:cs="Arial"/>
        <w:i/>
        <w:iCs/>
        <w:noProof/>
        <w:sz w:val="16"/>
        <w:szCs w:val="16"/>
      </w:rPr>
      <w:t>18</w:t>
    </w:r>
    <w:r w:rsidR="006D7A73" w:rsidRPr="008E018E">
      <w:rPr>
        <w:rFonts w:ascii="Arial" w:hAnsi="Arial" w:cs="Arial"/>
        <w:i/>
        <w:iCs/>
        <w:sz w:val="16"/>
        <w:szCs w:val="16"/>
      </w:rPr>
      <w:fldChar w:fldCharType="end"/>
    </w:r>
    <w:r w:rsidR="00AD1C27">
      <w:rPr>
        <w:rFonts w:ascii="Arial" w:hAnsi="Arial"/>
        <w:i/>
        <w:iCs/>
        <w:sz w:val="16"/>
        <w:szCs w:val="16"/>
      </w:rPr>
      <w:t xml:space="preserve">   </w:t>
    </w:r>
    <w:r w:rsidR="00AD1C27" w:rsidRPr="008E018E">
      <w:rPr>
        <w:rFonts w:ascii="Arial" w:hAnsi="Arial"/>
        <w:i/>
        <w:iCs/>
        <w:sz w:val="16"/>
        <w:szCs w:val="16"/>
      </w:rPr>
      <w:t>Szczegółowe specyf</w:t>
    </w:r>
    <w:r w:rsidR="009830EC">
      <w:rPr>
        <w:rFonts w:ascii="Arial" w:hAnsi="Arial"/>
        <w:i/>
        <w:iCs/>
        <w:sz w:val="16"/>
        <w:szCs w:val="16"/>
      </w:rPr>
      <w:t xml:space="preserve">ikacje </w:t>
    </w:r>
    <w:r w:rsidR="001A66FF">
      <w:rPr>
        <w:rFonts w:ascii="Arial" w:hAnsi="Arial"/>
        <w:i/>
        <w:iCs/>
        <w:sz w:val="16"/>
        <w:szCs w:val="16"/>
      </w:rPr>
      <w:t>techniczne</w:t>
    </w:r>
    <w:r w:rsidR="001A66FF">
      <w:rPr>
        <w:rFonts w:ascii="Arial" w:hAnsi="Arial"/>
        <w:i/>
        <w:iCs/>
        <w:sz w:val="16"/>
        <w:szCs w:val="16"/>
      </w:rPr>
      <w:tab/>
      <w:t xml:space="preserve">                   </w:t>
    </w:r>
    <w:r w:rsidR="009830EC">
      <w:rPr>
        <w:rFonts w:ascii="Arial" w:hAnsi="Arial"/>
        <w:i/>
        <w:iCs/>
        <w:sz w:val="16"/>
        <w:szCs w:val="16"/>
      </w:rPr>
      <w:t xml:space="preserve">      </w:t>
    </w:r>
    <w:r w:rsidR="00A00C85">
      <w:rPr>
        <w:rFonts w:ascii="Arial" w:hAnsi="Arial"/>
        <w:i/>
        <w:iCs/>
        <w:sz w:val="16"/>
        <w:szCs w:val="16"/>
      </w:rPr>
      <w:t>D – 04.10</w:t>
    </w:r>
    <w:r w:rsidR="00AD1C27" w:rsidRPr="008E018E">
      <w:rPr>
        <w:rFonts w:ascii="Arial" w:hAnsi="Arial"/>
        <w:i/>
        <w:iCs/>
        <w:sz w:val="16"/>
        <w:szCs w:val="16"/>
      </w:rPr>
      <w:t>.</w:t>
    </w:r>
    <w:r w:rsidR="00AD1C27">
      <w:rPr>
        <w:rFonts w:ascii="Arial" w:hAnsi="Arial"/>
        <w:i/>
        <w:iCs/>
        <w:sz w:val="16"/>
        <w:szCs w:val="16"/>
      </w:rPr>
      <w:t xml:space="preserve">01 Podbudowa z </w:t>
    </w:r>
    <w:r w:rsidR="009830EC">
      <w:rPr>
        <w:rFonts w:ascii="Arial" w:hAnsi="Arial"/>
        <w:i/>
        <w:iCs/>
        <w:sz w:val="16"/>
        <w:szCs w:val="16"/>
      </w:rPr>
      <w:t>mieszanki mineralno – cementowo - emulsyjnej</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C27" w:rsidRPr="008E018E" w:rsidRDefault="0081067E" w:rsidP="001E52A8">
    <w:pPr>
      <w:pStyle w:val="Stopka"/>
      <w:rPr>
        <w:rFonts w:ascii="Arial" w:hAnsi="Arial"/>
        <w:i/>
        <w:iCs/>
        <w:sz w:val="16"/>
        <w:szCs w:val="16"/>
      </w:rPr>
    </w:pPr>
    <w:r>
      <w:rPr>
        <w:sz w:val="16"/>
        <w:szCs w:val="16"/>
      </w:rPr>
      <w:pict>
        <v:line id="_x0000_s2050" style="position:absolute;z-index:251656192" from="-1.85pt,-5.75pt" to="480.4pt,-5.75pt"/>
      </w:pict>
    </w:r>
    <w:r w:rsidR="00AD1C27">
      <w:rPr>
        <w:rFonts w:ascii="Arial" w:hAnsi="Arial"/>
        <w:i/>
        <w:iCs/>
        <w:sz w:val="16"/>
        <w:szCs w:val="16"/>
      </w:rPr>
      <w:t>D – 04.</w:t>
    </w:r>
    <w:r w:rsidR="00A00C85">
      <w:rPr>
        <w:rFonts w:ascii="Arial" w:hAnsi="Arial"/>
        <w:i/>
        <w:iCs/>
        <w:sz w:val="16"/>
        <w:szCs w:val="16"/>
      </w:rPr>
      <w:t>10</w:t>
    </w:r>
    <w:r w:rsidR="00AD1C27" w:rsidRPr="008E018E">
      <w:rPr>
        <w:rFonts w:ascii="Arial" w:hAnsi="Arial"/>
        <w:i/>
        <w:iCs/>
        <w:sz w:val="16"/>
        <w:szCs w:val="16"/>
      </w:rPr>
      <w:t>.</w:t>
    </w:r>
    <w:r w:rsidR="00AD1C27">
      <w:rPr>
        <w:rFonts w:ascii="Arial" w:hAnsi="Arial"/>
        <w:i/>
        <w:iCs/>
        <w:sz w:val="16"/>
        <w:szCs w:val="16"/>
      </w:rPr>
      <w:t xml:space="preserve">01 Podbudowa </w:t>
    </w:r>
    <w:r w:rsidR="00A00C85">
      <w:rPr>
        <w:rFonts w:ascii="Arial" w:hAnsi="Arial"/>
        <w:i/>
        <w:iCs/>
        <w:sz w:val="16"/>
        <w:szCs w:val="16"/>
      </w:rPr>
      <w:t>z mieszanki mineralno – cementowo - emulsyjnej</w:t>
    </w:r>
    <w:r w:rsidR="00AD1C27">
      <w:rPr>
        <w:rFonts w:ascii="Arial" w:hAnsi="Arial"/>
        <w:i/>
        <w:iCs/>
        <w:sz w:val="16"/>
        <w:szCs w:val="16"/>
      </w:rPr>
      <w:tab/>
    </w:r>
    <w:r w:rsidR="00AD1C27" w:rsidRPr="008E018E">
      <w:rPr>
        <w:rFonts w:ascii="Arial" w:hAnsi="Arial"/>
        <w:i/>
        <w:iCs/>
        <w:sz w:val="16"/>
        <w:szCs w:val="16"/>
      </w:rPr>
      <w:t>Szczegółowe specyf</w:t>
    </w:r>
    <w:r w:rsidR="00AD1C27">
      <w:rPr>
        <w:rFonts w:ascii="Arial" w:hAnsi="Arial"/>
        <w:i/>
        <w:iCs/>
        <w:sz w:val="16"/>
        <w:szCs w:val="16"/>
      </w:rPr>
      <w:t xml:space="preserve">ikacje techniczne      </w:t>
    </w:r>
    <w:r w:rsidR="006D7A73" w:rsidRPr="008E018E">
      <w:rPr>
        <w:rFonts w:ascii="Arial" w:hAnsi="Arial" w:cs="Arial"/>
        <w:i/>
        <w:iCs/>
        <w:sz w:val="16"/>
        <w:szCs w:val="16"/>
      </w:rPr>
      <w:fldChar w:fldCharType="begin"/>
    </w:r>
    <w:r w:rsidR="00AD1C27" w:rsidRPr="008E018E">
      <w:rPr>
        <w:rFonts w:ascii="Arial" w:hAnsi="Arial" w:cs="Arial"/>
        <w:i/>
        <w:iCs/>
        <w:sz w:val="16"/>
        <w:szCs w:val="16"/>
      </w:rPr>
      <w:instrText xml:space="preserve"> PAGE </w:instrText>
    </w:r>
    <w:r w:rsidR="006D7A73" w:rsidRPr="008E018E">
      <w:rPr>
        <w:rFonts w:ascii="Arial" w:hAnsi="Arial" w:cs="Arial"/>
        <w:i/>
        <w:iCs/>
        <w:sz w:val="16"/>
        <w:szCs w:val="16"/>
      </w:rPr>
      <w:fldChar w:fldCharType="separate"/>
    </w:r>
    <w:r w:rsidR="009A6141">
      <w:rPr>
        <w:rFonts w:ascii="Arial" w:hAnsi="Arial" w:cs="Arial"/>
        <w:i/>
        <w:iCs/>
        <w:noProof/>
        <w:sz w:val="16"/>
        <w:szCs w:val="16"/>
      </w:rPr>
      <w:t>17</w:t>
    </w:r>
    <w:r w:rsidR="006D7A73" w:rsidRPr="008E018E">
      <w:rPr>
        <w:rFonts w:ascii="Arial" w:hAnsi="Arial" w:cs="Arial"/>
        <w:i/>
        <w:i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67E" w:rsidRDefault="0081067E">
      <w:r>
        <w:separator/>
      </w:r>
    </w:p>
  </w:footnote>
  <w:footnote w:type="continuationSeparator" w:id="0">
    <w:p w:rsidR="0081067E" w:rsidRDefault="00810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020" w:rsidRPr="002559F8" w:rsidRDefault="0081067E" w:rsidP="002A0020">
    <w:pPr>
      <w:pStyle w:val="Nagwek"/>
      <w:jc w:val="center"/>
      <w:rPr>
        <w:rFonts w:cs="Arial"/>
        <w:i/>
        <w:sz w:val="18"/>
        <w:szCs w:val="18"/>
      </w:rPr>
    </w:pPr>
    <w:r>
      <w:rPr>
        <w:rFonts w:cs="Arial"/>
        <w:i/>
        <w:noProof/>
        <w:sz w:val="18"/>
        <w:szCs w:val="18"/>
      </w:rPr>
      <w:pict>
        <v:shapetype id="_x0000_t32" coordsize="21600,21600" o:spt="32" o:oned="t" path="m,l21600,21600e" filled="f">
          <v:path arrowok="t" fillok="f" o:connecttype="none"/>
          <o:lock v:ext="edit" shapetype="t"/>
        </v:shapetype>
        <v:shape id="_x0000_s2062" type="#_x0000_t32" style="position:absolute;left:0;text-align:left;margin-left:-33.3pt;margin-top:37.5pt;width:521.6pt;height:0;z-index:251663360" o:connectortype="straight"/>
      </w:pict>
    </w:r>
    <w:r w:rsidR="00CD7D0C">
      <w:rPr>
        <w:rFonts w:cs="Arial"/>
        <w:i/>
        <w:noProof/>
        <w:sz w:val="18"/>
        <w:szCs w:val="18"/>
      </w:rPr>
      <w:t xml:space="preserve">Remont </w:t>
    </w:r>
    <w:r w:rsidR="000C6515">
      <w:rPr>
        <w:rFonts w:cs="Arial"/>
        <w:i/>
        <w:noProof/>
        <w:sz w:val="18"/>
        <w:szCs w:val="18"/>
      </w:rPr>
      <w:t xml:space="preserve"> </w:t>
    </w:r>
    <w:r w:rsidR="00C03868">
      <w:rPr>
        <w:rFonts w:cs="Arial"/>
        <w:i/>
        <w:noProof/>
        <w:sz w:val="18"/>
        <w:szCs w:val="18"/>
      </w:rPr>
      <w:t>drogi gminnej nr 434032P Młodziejewice - Unia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020" w:rsidRPr="002559F8" w:rsidRDefault="0081067E" w:rsidP="002A0020">
    <w:pPr>
      <w:pStyle w:val="Nagwek"/>
      <w:jc w:val="center"/>
      <w:rPr>
        <w:rFonts w:cs="Arial"/>
        <w:i/>
        <w:sz w:val="18"/>
        <w:szCs w:val="18"/>
      </w:rPr>
    </w:pPr>
    <w:r>
      <w:rPr>
        <w:rFonts w:cs="Arial"/>
        <w:i/>
        <w:noProof/>
        <w:sz w:val="18"/>
        <w:szCs w:val="18"/>
      </w:rPr>
      <w:pict>
        <v:shapetype id="_x0000_t32" coordsize="21600,21600" o:spt="32" o:oned="t" path="m,l21600,21600e" filled="f">
          <v:path arrowok="t" fillok="f" o:connecttype="none"/>
          <o:lock v:ext="edit" shapetype="t"/>
        </v:shapetype>
        <v:shape id="_x0000_s2061" type="#_x0000_t32" style="position:absolute;left:0;text-align:left;margin-left:-33.3pt;margin-top:37.5pt;width:521.6pt;height:0;z-index:251661312" o:connectortype="straight"/>
      </w:pict>
    </w:r>
    <w:r w:rsidR="00CD7D0C">
      <w:rPr>
        <w:rFonts w:cs="Arial"/>
        <w:i/>
        <w:noProof/>
        <w:sz w:val="18"/>
        <w:szCs w:val="18"/>
      </w:rPr>
      <w:t xml:space="preserve">Remont </w:t>
    </w:r>
    <w:r w:rsidR="000C6515">
      <w:rPr>
        <w:rFonts w:cs="Arial"/>
        <w:i/>
        <w:noProof/>
        <w:sz w:val="18"/>
        <w:szCs w:val="18"/>
      </w:rPr>
      <w:t xml:space="preserve"> </w:t>
    </w:r>
    <w:r w:rsidR="00C03868">
      <w:rPr>
        <w:rFonts w:cs="Arial"/>
        <w:i/>
        <w:noProof/>
        <w:sz w:val="18"/>
        <w:szCs w:val="18"/>
      </w:rPr>
      <w:t>drogi gminnej nr 434032P Młodziejewice - Unia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11"/>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13"/>
    <w:lvl w:ilvl="0">
      <w:start w:val="17"/>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singleLevel"/>
    <w:tmpl w:val="00000005"/>
    <w:name w:val="WW8Num5"/>
    <w:lvl w:ilvl="0">
      <w:start w:val="1"/>
      <w:numFmt w:val="none"/>
      <w:suff w:val="nothing"/>
      <w:lvlText w:val=""/>
      <w:lvlJc w:val="left"/>
      <w:pPr>
        <w:tabs>
          <w:tab w:val="num" w:pos="0"/>
        </w:tabs>
        <w:ind w:left="283" w:hanging="283"/>
      </w:pPr>
      <w:rPr>
        <w:rFonts w:ascii="Symbol" w:hAnsi="Symbol"/>
        <w:sz w:val="20"/>
      </w:rPr>
    </w:lvl>
  </w:abstractNum>
  <w:abstractNum w:abstractNumId="5">
    <w:nsid w:val="00000006"/>
    <w:multiLevelType w:val="singleLevel"/>
    <w:tmpl w:val="00000006"/>
    <w:name w:val="WW8Num3"/>
    <w:lvl w:ilvl="0">
      <w:start w:val="1"/>
      <w:numFmt w:val="bullet"/>
      <w:lvlText w:val="-"/>
      <w:lvlJc w:val="left"/>
      <w:pPr>
        <w:tabs>
          <w:tab w:val="num" w:pos="1188"/>
        </w:tabs>
        <w:ind w:left="1188" w:hanging="360"/>
      </w:pPr>
      <w:rPr>
        <w:rFonts w:ascii="OpenSymbol" w:hAnsi="OpenSymbol"/>
      </w:rPr>
    </w:lvl>
  </w:abstractNum>
  <w:abstractNum w:abstractNumId="6">
    <w:nsid w:val="00000007"/>
    <w:multiLevelType w:val="singleLevel"/>
    <w:tmpl w:val="00000007"/>
    <w:name w:val="WW8Num10"/>
    <w:lvl w:ilvl="0">
      <w:start w:val="1"/>
      <w:numFmt w:val="none"/>
      <w:suff w:val="nothing"/>
      <w:lvlText w:val=""/>
      <w:lvlJc w:val="left"/>
      <w:pPr>
        <w:tabs>
          <w:tab w:val="num" w:pos="0"/>
        </w:tabs>
        <w:ind w:left="283" w:hanging="283"/>
      </w:pPr>
      <w:rPr>
        <w:rFonts w:ascii="Symbol" w:hAnsi="Symbol"/>
        <w:sz w:val="20"/>
      </w:rPr>
    </w:lvl>
  </w:abstractNum>
  <w:abstractNum w:abstractNumId="7">
    <w:nsid w:val="00000008"/>
    <w:multiLevelType w:val="singleLevel"/>
    <w:tmpl w:val="00000008"/>
    <w:name w:val="WW8Num6"/>
    <w:lvl w:ilvl="0">
      <w:start w:val="1"/>
      <w:numFmt w:val="none"/>
      <w:suff w:val="nothing"/>
      <w:lvlText w:val=""/>
      <w:lvlJc w:val="left"/>
      <w:pPr>
        <w:tabs>
          <w:tab w:val="num" w:pos="0"/>
        </w:tabs>
        <w:ind w:left="283" w:hanging="283"/>
      </w:pPr>
      <w:rPr>
        <w:rFonts w:ascii="Symbol" w:hAnsi="Symbol"/>
        <w:sz w:val="20"/>
      </w:rPr>
    </w:lvl>
  </w:abstractNum>
  <w:abstractNum w:abstractNumId="8">
    <w:nsid w:val="00000009"/>
    <w:multiLevelType w:val="singleLevel"/>
    <w:tmpl w:val="00000009"/>
    <w:name w:val="WW8Num2"/>
    <w:lvl w:ilvl="0">
      <w:start w:val="1"/>
      <w:numFmt w:val="lowerLetter"/>
      <w:lvlText w:val="%1)"/>
      <w:lvlJc w:val="left"/>
      <w:pPr>
        <w:tabs>
          <w:tab w:val="num" w:pos="0"/>
        </w:tabs>
        <w:ind w:left="283" w:hanging="283"/>
      </w:pPr>
    </w:lvl>
  </w:abstractNum>
  <w:abstractNum w:abstractNumId="9">
    <w:nsid w:val="0000000A"/>
    <w:multiLevelType w:val="singleLevel"/>
    <w:tmpl w:val="0000000A"/>
    <w:name w:val="WW8Num4"/>
    <w:lvl w:ilvl="0">
      <w:start w:val="1"/>
      <w:numFmt w:val="none"/>
      <w:suff w:val="nothing"/>
      <w:lvlText w:val=""/>
      <w:lvlJc w:val="left"/>
      <w:pPr>
        <w:tabs>
          <w:tab w:val="num" w:pos="0"/>
        </w:tabs>
        <w:ind w:left="283" w:hanging="283"/>
      </w:pPr>
      <w:rPr>
        <w:rFonts w:ascii="Symbol" w:hAnsi="Symbol" w:cs="Symbol"/>
      </w:rPr>
    </w:lvl>
  </w:abstractNum>
  <w:abstractNum w:abstractNumId="10">
    <w:nsid w:val="0000000B"/>
    <w:multiLevelType w:val="singleLevel"/>
    <w:tmpl w:val="0000000B"/>
    <w:name w:val="WW8Num9"/>
    <w:lvl w:ilvl="0">
      <w:start w:val="1"/>
      <w:numFmt w:val="none"/>
      <w:suff w:val="nothing"/>
      <w:lvlText w:val=""/>
      <w:lvlJc w:val="left"/>
      <w:pPr>
        <w:tabs>
          <w:tab w:val="num" w:pos="0"/>
        </w:tabs>
        <w:ind w:left="283" w:hanging="283"/>
      </w:pPr>
      <w:rPr>
        <w:rFonts w:ascii="Symbol" w:hAnsi="Symbol" w:cs="Symbol"/>
      </w:rPr>
    </w:lvl>
  </w:abstractNum>
  <w:abstractNum w:abstractNumId="11">
    <w:nsid w:val="0000000C"/>
    <w:multiLevelType w:val="singleLevel"/>
    <w:tmpl w:val="0000000C"/>
    <w:name w:val="WW8Num7"/>
    <w:lvl w:ilvl="0">
      <w:start w:val="1"/>
      <w:numFmt w:val="none"/>
      <w:suff w:val="nothing"/>
      <w:lvlText w:val=""/>
      <w:lvlJc w:val="left"/>
      <w:pPr>
        <w:tabs>
          <w:tab w:val="num" w:pos="0"/>
        </w:tabs>
        <w:ind w:left="283" w:hanging="283"/>
      </w:pPr>
      <w:rPr>
        <w:rFonts w:ascii="Symbol" w:hAnsi="Symbol" w:cs="Symbol"/>
      </w:rPr>
    </w:lvl>
  </w:abstractNum>
  <w:abstractNum w:abstractNumId="12">
    <w:nsid w:val="0000000D"/>
    <w:multiLevelType w:val="singleLevel"/>
    <w:tmpl w:val="0000000D"/>
    <w:name w:val="WW8Num12"/>
    <w:lvl w:ilvl="0">
      <w:start w:val="1"/>
      <w:numFmt w:val="none"/>
      <w:suff w:val="nothing"/>
      <w:lvlText w:val=""/>
      <w:lvlJc w:val="left"/>
      <w:pPr>
        <w:tabs>
          <w:tab w:val="num" w:pos="0"/>
        </w:tabs>
        <w:ind w:left="283" w:hanging="283"/>
      </w:pPr>
      <w:rPr>
        <w:rFonts w:ascii="Symbol" w:hAnsi="Symbol" w:cs="Symbol"/>
      </w:rPr>
    </w:lvl>
  </w:abstractNum>
  <w:abstractNum w:abstractNumId="13">
    <w:nsid w:val="00000010"/>
    <w:multiLevelType w:val="singleLevel"/>
    <w:tmpl w:val="00000010"/>
    <w:name w:val="WW8Num19"/>
    <w:lvl w:ilvl="0">
      <w:start w:val="1"/>
      <w:numFmt w:val="decimal"/>
      <w:lvlText w:val="%1)"/>
      <w:lvlJc w:val="left"/>
      <w:pPr>
        <w:tabs>
          <w:tab w:val="num" w:pos="539"/>
        </w:tabs>
        <w:ind w:left="539" w:hanging="539"/>
      </w:pPr>
      <w:rPr>
        <w:rFonts w:hint="default"/>
        <w:b w:val="0"/>
        <w:i w:val="0"/>
        <w:color w:val="auto"/>
        <w:sz w:val="20"/>
        <w:szCs w:val="20"/>
        <w:lang w:val="pl-PL"/>
      </w:rPr>
    </w:lvl>
  </w:abstractNum>
  <w:abstractNum w:abstractNumId="14">
    <w:nsid w:val="06412CC7"/>
    <w:multiLevelType w:val="hybridMultilevel"/>
    <w:tmpl w:val="19F66988"/>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9483FAE"/>
    <w:multiLevelType w:val="hybridMultilevel"/>
    <w:tmpl w:val="7A9425EE"/>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D594339"/>
    <w:multiLevelType w:val="hybridMultilevel"/>
    <w:tmpl w:val="535695BA"/>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22D0036"/>
    <w:multiLevelType w:val="hybridMultilevel"/>
    <w:tmpl w:val="7430AF00"/>
    <w:name w:val="WW8Num7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3166341"/>
    <w:multiLevelType w:val="hybridMultilevel"/>
    <w:tmpl w:val="1D0E0884"/>
    <w:lvl w:ilvl="0" w:tplc="3362BCBA">
      <w:start w:val="1"/>
      <w:numFmt w:val="bullet"/>
      <w:lvlText w:val="-"/>
      <w:lvlJc w:val="left"/>
      <w:pPr>
        <w:ind w:left="1429" w:hanging="360"/>
      </w:pPr>
      <w:rPr>
        <w:rFonts w:ascii="Courier New" w:hAnsi="Courier New"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nsid w:val="14C27B6C"/>
    <w:multiLevelType w:val="hybridMultilevel"/>
    <w:tmpl w:val="648E1318"/>
    <w:name w:val="WW8Num7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17030F62"/>
    <w:multiLevelType w:val="hybridMultilevel"/>
    <w:tmpl w:val="B840FB78"/>
    <w:lvl w:ilvl="0" w:tplc="3362BCBA">
      <w:start w:val="1"/>
      <w:numFmt w:val="bullet"/>
      <w:lvlText w:val="-"/>
      <w:lvlJc w:val="left"/>
      <w:pPr>
        <w:ind w:left="1429" w:hanging="360"/>
      </w:pPr>
      <w:rPr>
        <w:rFonts w:ascii="Courier New" w:hAnsi="Courier New"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nsid w:val="173B6C46"/>
    <w:multiLevelType w:val="hybridMultilevel"/>
    <w:tmpl w:val="FC0880EE"/>
    <w:lvl w:ilvl="0" w:tplc="3362BCBA">
      <w:start w:val="1"/>
      <w:numFmt w:val="bullet"/>
      <w:lvlText w:val="-"/>
      <w:lvlJc w:val="left"/>
      <w:pPr>
        <w:ind w:left="1429" w:hanging="360"/>
      </w:pPr>
      <w:rPr>
        <w:rFonts w:ascii="Courier New" w:hAnsi="Courier New"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nsid w:val="18D13ED2"/>
    <w:multiLevelType w:val="hybridMultilevel"/>
    <w:tmpl w:val="9894D636"/>
    <w:name w:val="WW8Num7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3151558"/>
    <w:multiLevelType w:val="hybridMultilevel"/>
    <w:tmpl w:val="0062023A"/>
    <w:name w:val="WW8Num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34D02F1"/>
    <w:multiLevelType w:val="hybridMultilevel"/>
    <w:tmpl w:val="0ED8CDD6"/>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24E06906"/>
    <w:multiLevelType w:val="hybridMultilevel"/>
    <w:tmpl w:val="D766F798"/>
    <w:lvl w:ilvl="0" w:tplc="3362BCBA">
      <w:start w:val="1"/>
      <w:numFmt w:val="bullet"/>
      <w:lvlText w:val="-"/>
      <w:lvlJc w:val="left"/>
      <w:pPr>
        <w:ind w:left="1004" w:hanging="360"/>
      </w:pPr>
      <w:rPr>
        <w:rFonts w:ascii="Courier New" w:hAnsi="Courier New" w:hint="default"/>
        <w:b w:val="0"/>
        <w:i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nsid w:val="28CF4B3E"/>
    <w:multiLevelType w:val="hybridMultilevel"/>
    <w:tmpl w:val="A6F0CAD6"/>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9F97CA1"/>
    <w:multiLevelType w:val="multilevel"/>
    <w:tmpl w:val="092A0970"/>
    <w:lvl w:ilvl="0">
      <w:start w:val="9"/>
      <w:numFmt w:val="decimal"/>
      <w:lvlText w:val="%1."/>
      <w:legacy w:legacy="1" w:legacySpace="0" w:legacyIndent="0"/>
      <w:lvlJc w:val="left"/>
      <w:pPr>
        <w:ind w:left="0" w:firstLine="0"/>
      </w:pPr>
      <w:rPr>
        <w:b/>
      </w:rPr>
    </w:lvl>
    <w:lvl w:ilvl="1">
      <w:start w:val="2"/>
      <w:numFmt w:val="decimal"/>
      <w:lvlText w:val="%1.%2."/>
      <w:legacy w:legacy="1" w:legacySpace="0" w:legacyIndent="0"/>
      <w:lvlJc w:val="left"/>
      <w:pPr>
        <w:ind w:left="0" w:firstLine="0"/>
      </w:pPr>
      <w:rPr>
        <w:b/>
      </w:rPr>
    </w:lvl>
    <w:lvl w:ilvl="2">
      <w:start w:val="2"/>
      <w:numFmt w:val="decimal"/>
      <w:lvlText w:val="%1.%2.%3."/>
      <w:legacy w:legacy="1" w:legacySpace="0" w:legacyIndent="0"/>
      <w:lvlJc w:val="left"/>
      <w:pPr>
        <w:ind w:left="0" w:firstLine="0"/>
      </w:pPr>
      <w:rPr>
        <w:b/>
      </w:rPr>
    </w:lvl>
    <w:lvl w:ilvl="3">
      <w:start w:val="1"/>
      <w:numFmt w:val="decimal"/>
      <w:lvlText w:val="%1.%2.%3.%4."/>
      <w:legacy w:legacy="1" w:legacySpace="0" w:legacyIndent="0"/>
      <w:lvlJc w:val="left"/>
      <w:pPr>
        <w:ind w:left="0" w:firstLine="0"/>
      </w:pPr>
      <w:rPr>
        <w:b/>
      </w:rPr>
    </w:lvl>
    <w:lvl w:ilvl="4">
      <w:start w:val="1"/>
      <w:numFmt w:val="decimal"/>
      <w:lvlText w:val="%1.%2.%3.%4.%5."/>
      <w:legacy w:legacy="1" w:legacySpace="0" w:legacyIndent="0"/>
      <w:lvlJc w:val="left"/>
      <w:pPr>
        <w:ind w:left="0" w:firstLine="0"/>
      </w:pPr>
      <w:rPr>
        <w:b/>
      </w:rPr>
    </w:lvl>
    <w:lvl w:ilvl="5">
      <w:start w:val="1"/>
      <w:numFmt w:val="decimal"/>
      <w:lvlText w:val="%1.%2.%3.%4.%5.%6."/>
      <w:legacy w:legacy="1" w:legacySpace="0" w:legacyIndent="0"/>
      <w:lvlJc w:val="left"/>
      <w:pPr>
        <w:ind w:left="0" w:firstLine="0"/>
      </w:pPr>
      <w:rPr>
        <w:b/>
      </w:rPr>
    </w:lvl>
    <w:lvl w:ilvl="6">
      <w:start w:val="1"/>
      <w:numFmt w:val="decimal"/>
      <w:lvlText w:val="%1.%2.%3.%4.%5.%6.%7."/>
      <w:legacy w:legacy="1" w:legacySpace="0" w:legacyIndent="0"/>
      <w:lvlJc w:val="left"/>
      <w:pPr>
        <w:ind w:left="0" w:firstLine="0"/>
      </w:pPr>
      <w:rPr>
        <w:b/>
      </w:rPr>
    </w:lvl>
    <w:lvl w:ilvl="7">
      <w:start w:val="1"/>
      <w:numFmt w:val="decimal"/>
      <w:lvlText w:val="%1.%2.%3.%4.%5.%6.%7.%8."/>
      <w:legacy w:legacy="1" w:legacySpace="0" w:legacyIndent="0"/>
      <w:lvlJc w:val="left"/>
      <w:pPr>
        <w:ind w:left="0" w:firstLine="0"/>
      </w:pPr>
      <w:rPr>
        <w:b/>
      </w:rPr>
    </w:lvl>
    <w:lvl w:ilvl="8">
      <w:start w:val="1"/>
      <w:numFmt w:val="decimal"/>
      <w:lvlText w:val="%1.%2.%3.%4.%5.%6.%7.%8.%9."/>
      <w:legacy w:legacy="1" w:legacySpace="120" w:legacyIndent="1440"/>
      <w:lvlJc w:val="left"/>
      <w:pPr>
        <w:ind w:left="1440" w:hanging="1440"/>
      </w:pPr>
      <w:rPr>
        <w:b/>
      </w:rPr>
    </w:lvl>
  </w:abstractNum>
  <w:abstractNum w:abstractNumId="28">
    <w:nsid w:val="2C724302"/>
    <w:multiLevelType w:val="hybridMultilevel"/>
    <w:tmpl w:val="CDA6FFF2"/>
    <w:lvl w:ilvl="0" w:tplc="3362BCBA">
      <w:start w:val="1"/>
      <w:numFmt w:val="bullet"/>
      <w:lvlText w:val="-"/>
      <w:lvlJc w:val="left"/>
      <w:pPr>
        <w:ind w:left="1004" w:hanging="360"/>
      </w:pPr>
      <w:rPr>
        <w:rFonts w:ascii="Courier New" w:hAnsi="Courier New" w:hint="default"/>
        <w:b w:val="0"/>
        <w:i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nsid w:val="30FF684F"/>
    <w:multiLevelType w:val="hybridMultilevel"/>
    <w:tmpl w:val="E49CB004"/>
    <w:name w:val="WW8Num7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9BD55AD"/>
    <w:multiLevelType w:val="hybridMultilevel"/>
    <w:tmpl w:val="3DF89BE0"/>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C7F0436"/>
    <w:multiLevelType w:val="hybridMultilevel"/>
    <w:tmpl w:val="62E0C6DA"/>
    <w:name w:val="WW8Num7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1C57184"/>
    <w:multiLevelType w:val="hybridMultilevel"/>
    <w:tmpl w:val="29003990"/>
    <w:name w:val="WW8Num7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2200FD8"/>
    <w:multiLevelType w:val="hybridMultilevel"/>
    <w:tmpl w:val="C4B28E7A"/>
    <w:name w:val="WW8Num192"/>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43F42F9B"/>
    <w:multiLevelType w:val="hybridMultilevel"/>
    <w:tmpl w:val="29EE1144"/>
    <w:name w:val="WW8Num19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52455F1D"/>
    <w:multiLevelType w:val="hybridMultilevel"/>
    <w:tmpl w:val="2648E248"/>
    <w:name w:val="WW8Num7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535D59C0"/>
    <w:multiLevelType w:val="hybridMultilevel"/>
    <w:tmpl w:val="B10465E8"/>
    <w:name w:val="WW8Num7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53B2093F"/>
    <w:multiLevelType w:val="hybridMultilevel"/>
    <w:tmpl w:val="C5EA18B2"/>
    <w:name w:val="WW8Num7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56AC5D02"/>
    <w:multiLevelType w:val="hybridMultilevel"/>
    <w:tmpl w:val="D02A987A"/>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57245933"/>
    <w:multiLevelType w:val="hybridMultilevel"/>
    <w:tmpl w:val="919A2C92"/>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57F63873"/>
    <w:multiLevelType w:val="hybridMultilevel"/>
    <w:tmpl w:val="A328E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DC51C33"/>
    <w:multiLevelType w:val="hybridMultilevel"/>
    <w:tmpl w:val="2F286BAE"/>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0EA3EA1"/>
    <w:multiLevelType w:val="hybridMultilevel"/>
    <w:tmpl w:val="7C4011C8"/>
    <w:name w:val="WW8Num1922222"/>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62FF2029"/>
    <w:multiLevelType w:val="hybridMultilevel"/>
    <w:tmpl w:val="0FF4449C"/>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6FEB5C77"/>
    <w:multiLevelType w:val="hybridMultilevel"/>
    <w:tmpl w:val="3880E1D0"/>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715C34F9"/>
    <w:multiLevelType w:val="hybridMultilevel"/>
    <w:tmpl w:val="D7E862C8"/>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7166204E"/>
    <w:multiLevelType w:val="hybridMultilevel"/>
    <w:tmpl w:val="08AAA472"/>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73956C17"/>
    <w:multiLevelType w:val="hybridMultilevel"/>
    <w:tmpl w:val="10B65B20"/>
    <w:name w:val="WW8Num19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76014A3D"/>
    <w:multiLevelType w:val="hybridMultilevel"/>
    <w:tmpl w:val="8D602F30"/>
    <w:lvl w:ilvl="0" w:tplc="3362BCBA">
      <w:start w:val="1"/>
      <w:numFmt w:val="bullet"/>
      <w:lvlText w:val="-"/>
      <w:lvlJc w:val="left"/>
      <w:pPr>
        <w:ind w:left="720"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76875B99"/>
    <w:multiLevelType w:val="hybridMultilevel"/>
    <w:tmpl w:val="FA60BF04"/>
    <w:name w:val="WW8Num1922"/>
    <w:lvl w:ilvl="0" w:tplc="3362BCBA">
      <w:start w:val="1"/>
      <w:numFmt w:val="bullet"/>
      <w:lvlText w:val="-"/>
      <w:lvlJc w:val="left"/>
      <w:pPr>
        <w:ind w:left="644" w:hanging="360"/>
      </w:pPr>
      <w:rPr>
        <w:rFonts w:ascii="Courier New" w:hAnsi="Courier Ne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7A8E773B"/>
    <w:multiLevelType w:val="hybridMultilevel"/>
    <w:tmpl w:val="CF5470F4"/>
    <w:lvl w:ilvl="0" w:tplc="3362BCBA">
      <w:start w:val="1"/>
      <w:numFmt w:val="bullet"/>
      <w:lvlText w:val="-"/>
      <w:lvlJc w:val="left"/>
      <w:pPr>
        <w:ind w:left="1429" w:hanging="360"/>
      </w:pPr>
      <w:rPr>
        <w:rFonts w:ascii="Courier New" w:hAnsi="Courier New"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sz w:val="20"/>
        </w:rPr>
      </w:lvl>
    </w:lvlOverride>
  </w:num>
  <w:num w:numId="3">
    <w:abstractNumId w:val="27"/>
  </w:num>
  <w:num w:numId="4">
    <w:abstractNumId w:val="40"/>
  </w:num>
  <w:num w:numId="5">
    <w:abstractNumId w:val="21"/>
  </w:num>
  <w:num w:numId="6">
    <w:abstractNumId w:val="20"/>
  </w:num>
  <w:num w:numId="7">
    <w:abstractNumId w:val="50"/>
  </w:num>
  <w:num w:numId="8">
    <w:abstractNumId w:val="18"/>
  </w:num>
  <w:num w:numId="9">
    <w:abstractNumId w:val="16"/>
  </w:num>
  <w:num w:numId="10">
    <w:abstractNumId w:val="46"/>
  </w:num>
  <w:num w:numId="11">
    <w:abstractNumId w:val="24"/>
  </w:num>
  <w:num w:numId="12">
    <w:abstractNumId w:val="38"/>
  </w:num>
  <w:num w:numId="13">
    <w:abstractNumId w:val="43"/>
  </w:num>
  <w:num w:numId="14">
    <w:abstractNumId w:val="14"/>
  </w:num>
  <w:num w:numId="15">
    <w:abstractNumId w:val="15"/>
  </w:num>
  <w:num w:numId="16">
    <w:abstractNumId w:val="48"/>
  </w:num>
  <w:num w:numId="17">
    <w:abstractNumId w:val="30"/>
  </w:num>
  <w:num w:numId="18">
    <w:abstractNumId w:val="45"/>
  </w:num>
  <w:num w:numId="19">
    <w:abstractNumId w:val="28"/>
  </w:num>
  <w:num w:numId="20">
    <w:abstractNumId w:val="25"/>
  </w:num>
  <w:num w:numId="21">
    <w:abstractNumId w:val="41"/>
  </w:num>
  <w:num w:numId="22">
    <w:abstractNumId w:val="44"/>
  </w:num>
  <w:num w:numId="23">
    <w:abstractNumId w:val="39"/>
  </w:num>
  <w:num w:numId="24">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defaultTabStop w:val="709"/>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63"/>
    <o:shapelayout v:ext="edit">
      <o:idmap v:ext="edit" data="2"/>
      <o:rules v:ext="edit">
        <o:r id="V:Rule1" type="connector" idref="#_x0000_s2061"/>
        <o:r id="V:Rule2" type="connector" idref="#_x0000_s2062"/>
      </o:rules>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D20B80"/>
    <w:rsid w:val="00032726"/>
    <w:rsid w:val="00033955"/>
    <w:rsid w:val="00060FE0"/>
    <w:rsid w:val="00065162"/>
    <w:rsid w:val="0008300E"/>
    <w:rsid w:val="0008309B"/>
    <w:rsid w:val="00096890"/>
    <w:rsid w:val="000C6515"/>
    <w:rsid w:val="000D5876"/>
    <w:rsid w:val="000D6D97"/>
    <w:rsid w:val="000E1C61"/>
    <w:rsid w:val="000E60B1"/>
    <w:rsid w:val="000F7B1A"/>
    <w:rsid w:val="00100E6E"/>
    <w:rsid w:val="001056A6"/>
    <w:rsid w:val="00111961"/>
    <w:rsid w:val="00127BD7"/>
    <w:rsid w:val="001472E8"/>
    <w:rsid w:val="00161938"/>
    <w:rsid w:val="00165717"/>
    <w:rsid w:val="001A261B"/>
    <w:rsid w:val="001A66FF"/>
    <w:rsid w:val="001B67C2"/>
    <w:rsid w:val="001C203F"/>
    <w:rsid w:val="001C5D97"/>
    <w:rsid w:val="001D59DA"/>
    <w:rsid w:val="001D7AB9"/>
    <w:rsid w:val="001E52A8"/>
    <w:rsid w:val="001F108C"/>
    <w:rsid w:val="00222D77"/>
    <w:rsid w:val="00233C65"/>
    <w:rsid w:val="002355B5"/>
    <w:rsid w:val="00252A68"/>
    <w:rsid w:val="00264314"/>
    <w:rsid w:val="00275578"/>
    <w:rsid w:val="002A0020"/>
    <w:rsid w:val="002C28F1"/>
    <w:rsid w:val="002D2988"/>
    <w:rsid w:val="002D42FC"/>
    <w:rsid w:val="002F01E9"/>
    <w:rsid w:val="003000D0"/>
    <w:rsid w:val="0030763C"/>
    <w:rsid w:val="00310153"/>
    <w:rsid w:val="0032153A"/>
    <w:rsid w:val="00340C45"/>
    <w:rsid w:val="00357512"/>
    <w:rsid w:val="003605E6"/>
    <w:rsid w:val="003700DA"/>
    <w:rsid w:val="00383F8B"/>
    <w:rsid w:val="003973A7"/>
    <w:rsid w:val="003A1F9F"/>
    <w:rsid w:val="003C1298"/>
    <w:rsid w:val="003D3D1B"/>
    <w:rsid w:val="00405E81"/>
    <w:rsid w:val="00437CB7"/>
    <w:rsid w:val="00460AAF"/>
    <w:rsid w:val="00463F86"/>
    <w:rsid w:val="00484C36"/>
    <w:rsid w:val="00495007"/>
    <w:rsid w:val="004C6445"/>
    <w:rsid w:val="004D5123"/>
    <w:rsid w:val="004D7FD5"/>
    <w:rsid w:val="004F4965"/>
    <w:rsid w:val="0050198F"/>
    <w:rsid w:val="0051523A"/>
    <w:rsid w:val="00516CE5"/>
    <w:rsid w:val="00594459"/>
    <w:rsid w:val="005A0A6C"/>
    <w:rsid w:val="005A188D"/>
    <w:rsid w:val="005D283C"/>
    <w:rsid w:val="005E5E6C"/>
    <w:rsid w:val="00615A4B"/>
    <w:rsid w:val="00616B9E"/>
    <w:rsid w:val="00667F7E"/>
    <w:rsid w:val="006B3F89"/>
    <w:rsid w:val="006D7A73"/>
    <w:rsid w:val="006E7FA8"/>
    <w:rsid w:val="00703900"/>
    <w:rsid w:val="007279E8"/>
    <w:rsid w:val="007413A5"/>
    <w:rsid w:val="007772F8"/>
    <w:rsid w:val="00777E3A"/>
    <w:rsid w:val="007851EF"/>
    <w:rsid w:val="0079618E"/>
    <w:rsid w:val="00797849"/>
    <w:rsid w:val="00797DB5"/>
    <w:rsid w:val="007E2932"/>
    <w:rsid w:val="007E6FB3"/>
    <w:rsid w:val="0081067E"/>
    <w:rsid w:val="00830F5D"/>
    <w:rsid w:val="00843688"/>
    <w:rsid w:val="00862954"/>
    <w:rsid w:val="00864DB7"/>
    <w:rsid w:val="00866C32"/>
    <w:rsid w:val="00871511"/>
    <w:rsid w:val="0087186E"/>
    <w:rsid w:val="00881424"/>
    <w:rsid w:val="00884F33"/>
    <w:rsid w:val="008B02FA"/>
    <w:rsid w:val="008B2B8D"/>
    <w:rsid w:val="008C7178"/>
    <w:rsid w:val="008D3437"/>
    <w:rsid w:val="008E018E"/>
    <w:rsid w:val="00900EC0"/>
    <w:rsid w:val="0092290A"/>
    <w:rsid w:val="0093338B"/>
    <w:rsid w:val="009379C4"/>
    <w:rsid w:val="00955DC2"/>
    <w:rsid w:val="00964C1E"/>
    <w:rsid w:val="00977E0D"/>
    <w:rsid w:val="009830EC"/>
    <w:rsid w:val="009838CB"/>
    <w:rsid w:val="00987186"/>
    <w:rsid w:val="00995B29"/>
    <w:rsid w:val="009A6141"/>
    <w:rsid w:val="009C0C8D"/>
    <w:rsid w:val="009D27CE"/>
    <w:rsid w:val="009E429C"/>
    <w:rsid w:val="009F5002"/>
    <w:rsid w:val="00A00C85"/>
    <w:rsid w:val="00A01DB9"/>
    <w:rsid w:val="00A21240"/>
    <w:rsid w:val="00A44A23"/>
    <w:rsid w:val="00A52635"/>
    <w:rsid w:val="00A52746"/>
    <w:rsid w:val="00A536D1"/>
    <w:rsid w:val="00A72676"/>
    <w:rsid w:val="00A73F60"/>
    <w:rsid w:val="00A77C8F"/>
    <w:rsid w:val="00A9362E"/>
    <w:rsid w:val="00AA0786"/>
    <w:rsid w:val="00AA3787"/>
    <w:rsid w:val="00AC3768"/>
    <w:rsid w:val="00AD1C27"/>
    <w:rsid w:val="00AF39C6"/>
    <w:rsid w:val="00AF45FD"/>
    <w:rsid w:val="00B2241E"/>
    <w:rsid w:val="00B4103D"/>
    <w:rsid w:val="00B46468"/>
    <w:rsid w:val="00B51141"/>
    <w:rsid w:val="00B84056"/>
    <w:rsid w:val="00B95FBD"/>
    <w:rsid w:val="00B97D73"/>
    <w:rsid w:val="00BA2E20"/>
    <w:rsid w:val="00BA6CA3"/>
    <w:rsid w:val="00BB3737"/>
    <w:rsid w:val="00BC0EC4"/>
    <w:rsid w:val="00BC40CB"/>
    <w:rsid w:val="00BD2C16"/>
    <w:rsid w:val="00BE383A"/>
    <w:rsid w:val="00BE596B"/>
    <w:rsid w:val="00BE75B6"/>
    <w:rsid w:val="00C03868"/>
    <w:rsid w:val="00C15F58"/>
    <w:rsid w:val="00C17F38"/>
    <w:rsid w:val="00C52BD8"/>
    <w:rsid w:val="00C80FBB"/>
    <w:rsid w:val="00C82FF4"/>
    <w:rsid w:val="00C92AF2"/>
    <w:rsid w:val="00CC6A1B"/>
    <w:rsid w:val="00CD7D0C"/>
    <w:rsid w:val="00CE34F9"/>
    <w:rsid w:val="00D0779E"/>
    <w:rsid w:val="00D1259A"/>
    <w:rsid w:val="00D1407D"/>
    <w:rsid w:val="00D1408E"/>
    <w:rsid w:val="00D14EA9"/>
    <w:rsid w:val="00D20B80"/>
    <w:rsid w:val="00D20CD1"/>
    <w:rsid w:val="00D2388C"/>
    <w:rsid w:val="00D31C46"/>
    <w:rsid w:val="00D34738"/>
    <w:rsid w:val="00D56900"/>
    <w:rsid w:val="00D6038D"/>
    <w:rsid w:val="00D64A81"/>
    <w:rsid w:val="00D66D9B"/>
    <w:rsid w:val="00D723CF"/>
    <w:rsid w:val="00D90EC4"/>
    <w:rsid w:val="00D93D15"/>
    <w:rsid w:val="00D96FA4"/>
    <w:rsid w:val="00D972C1"/>
    <w:rsid w:val="00DB230B"/>
    <w:rsid w:val="00DB49F1"/>
    <w:rsid w:val="00DB753A"/>
    <w:rsid w:val="00DD38B8"/>
    <w:rsid w:val="00DD3D57"/>
    <w:rsid w:val="00DE2071"/>
    <w:rsid w:val="00DE476F"/>
    <w:rsid w:val="00E06F8F"/>
    <w:rsid w:val="00E46E7A"/>
    <w:rsid w:val="00E503C8"/>
    <w:rsid w:val="00EA1337"/>
    <w:rsid w:val="00EC01CF"/>
    <w:rsid w:val="00EC7F83"/>
    <w:rsid w:val="00ED34A2"/>
    <w:rsid w:val="00F00BA9"/>
    <w:rsid w:val="00F17E58"/>
    <w:rsid w:val="00F43F2A"/>
    <w:rsid w:val="00F56D78"/>
    <w:rsid w:val="00F616D3"/>
    <w:rsid w:val="00F65AA3"/>
    <w:rsid w:val="00F84D62"/>
    <w:rsid w:val="00FA2D1E"/>
    <w:rsid w:val="00FB59BF"/>
    <w:rsid w:val="00FB6BCF"/>
    <w:rsid w:val="00FD31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06F8F"/>
    <w:pPr>
      <w:widowControl w:val="0"/>
      <w:suppressAutoHyphens/>
    </w:pPr>
    <w:rPr>
      <w:rFonts w:eastAsia="Arial Unicode MS"/>
      <w:kern w:val="1"/>
      <w:sz w:val="24"/>
      <w:szCs w:val="24"/>
    </w:rPr>
  </w:style>
  <w:style w:type="paragraph" w:styleId="Nagwek1">
    <w:name w:val="heading 1"/>
    <w:basedOn w:val="Normalny"/>
    <w:next w:val="Normalny"/>
    <w:link w:val="Nagwek1Znak"/>
    <w:uiPriority w:val="1"/>
    <w:qFormat/>
    <w:rsid w:val="00E06F8F"/>
    <w:pPr>
      <w:keepNext/>
      <w:keepLines/>
      <w:numPr>
        <w:numId w:val="1"/>
      </w:numPr>
      <w:spacing w:before="120" w:after="120"/>
      <w:jc w:val="both"/>
      <w:outlineLvl w:val="0"/>
    </w:pPr>
    <w:rPr>
      <w:rFonts w:eastAsia="Arial"/>
      <w:b/>
      <w:caps/>
    </w:rPr>
  </w:style>
  <w:style w:type="paragraph" w:styleId="Nagwek2">
    <w:name w:val="heading 2"/>
    <w:basedOn w:val="Normalny"/>
    <w:next w:val="Normalny"/>
    <w:link w:val="Nagwek2Znak"/>
    <w:uiPriority w:val="1"/>
    <w:qFormat/>
    <w:rsid w:val="00E06F8F"/>
    <w:pPr>
      <w:keepNext/>
      <w:numPr>
        <w:ilvl w:val="1"/>
        <w:numId w:val="1"/>
      </w:numPr>
      <w:spacing w:before="120" w:after="120"/>
      <w:outlineLvl w:val="1"/>
    </w:pPr>
    <w:rPr>
      <w:b/>
    </w:rPr>
  </w:style>
  <w:style w:type="paragraph" w:styleId="Nagwek3">
    <w:name w:val="heading 3"/>
    <w:basedOn w:val="Normalny"/>
    <w:next w:val="Normalny"/>
    <w:link w:val="Nagwek3Znak"/>
    <w:uiPriority w:val="1"/>
    <w:qFormat/>
    <w:rsid w:val="00E06F8F"/>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rsid w:val="00E06F8F"/>
  </w:style>
  <w:style w:type="character" w:customStyle="1" w:styleId="Symbolewypunktowania">
    <w:name w:val="Symbole wypunktowania"/>
    <w:rsid w:val="00E06F8F"/>
    <w:rPr>
      <w:rFonts w:ascii="StarSymbol" w:eastAsia="StarSymbol" w:hAnsi="StarSymbol" w:cs="StarSymbol"/>
      <w:sz w:val="18"/>
      <w:szCs w:val="18"/>
    </w:rPr>
  </w:style>
  <w:style w:type="character" w:customStyle="1" w:styleId="WW8Num11z0">
    <w:name w:val="WW8Num11z0"/>
    <w:rsid w:val="00E06F8F"/>
    <w:rPr>
      <w:rFonts w:ascii="Symbol" w:hAnsi="Symbol"/>
    </w:rPr>
  </w:style>
  <w:style w:type="paragraph" w:styleId="Tekstpodstawowy">
    <w:name w:val="Body Text"/>
    <w:basedOn w:val="Normalny"/>
    <w:link w:val="TekstpodstawowyZnak"/>
    <w:uiPriority w:val="1"/>
    <w:qFormat/>
    <w:rsid w:val="00E06F8F"/>
    <w:pPr>
      <w:spacing w:after="120"/>
    </w:pPr>
  </w:style>
  <w:style w:type="paragraph" w:customStyle="1" w:styleId="Podpis1">
    <w:name w:val="Podpis1"/>
    <w:basedOn w:val="Normalny"/>
    <w:rsid w:val="00E06F8F"/>
    <w:pPr>
      <w:suppressLineNumbers/>
      <w:spacing w:before="120" w:after="120"/>
    </w:pPr>
    <w:rPr>
      <w:rFonts w:cs="Tahoma"/>
      <w:i/>
      <w:iCs/>
    </w:rPr>
  </w:style>
  <w:style w:type="paragraph" w:styleId="Nagwek">
    <w:name w:val="header"/>
    <w:aliases w:val="Nagłówek strony"/>
    <w:basedOn w:val="Normalny"/>
    <w:next w:val="Tekstpodstawowy"/>
    <w:link w:val="NagwekZnak"/>
    <w:rsid w:val="00E06F8F"/>
    <w:pPr>
      <w:keepNext/>
      <w:spacing w:before="240" w:after="120"/>
    </w:pPr>
    <w:rPr>
      <w:rFonts w:ascii="Arial" w:eastAsia="MS Mincho" w:hAnsi="Arial"/>
      <w:sz w:val="28"/>
      <w:szCs w:val="28"/>
    </w:rPr>
  </w:style>
  <w:style w:type="paragraph" w:customStyle="1" w:styleId="Nagwek10">
    <w:name w:val="Nagłówek1"/>
    <w:basedOn w:val="Normalny"/>
    <w:next w:val="Tekstpodstawowy"/>
    <w:rsid w:val="00E06F8F"/>
    <w:pPr>
      <w:keepNext/>
      <w:spacing w:before="240" w:after="120"/>
    </w:pPr>
    <w:rPr>
      <w:rFonts w:ascii="Arial" w:eastAsia="MS Mincho" w:hAnsi="Arial" w:cs="Tahoma"/>
      <w:sz w:val="28"/>
      <w:szCs w:val="28"/>
    </w:rPr>
  </w:style>
  <w:style w:type="paragraph" w:styleId="Lista">
    <w:name w:val="List"/>
    <w:basedOn w:val="Tekstpodstawowy"/>
    <w:rsid w:val="00E06F8F"/>
    <w:rPr>
      <w:rFonts w:ascii="Arial" w:hAnsi="Arial" w:cs="Tahoma"/>
    </w:rPr>
  </w:style>
  <w:style w:type="paragraph" w:styleId="Stopka">
    <w:name w:val="footer"/>
    <w:basedOn w:val="Normalny"/>
    <w:link w:val="StopkaZnak"/>
    <w:uiPriority w:val="99"/>
    <w:rsid w:val="00E06F8F"/>
    <w:pPr>
      <w:suppressLineNumbers/>
      <w:tabs>
        <w:tab w:val="center" w:pos="4818"/>
        <w:tab w:val="right" w:pos="9637"/>
      </w:tabs>
    </w:pPr>
  </w:style>
  <w:style w:type="paragraph" w:customStyle="1" w:styleId="Indeks">
    <w:name w:val="Indeks"/>
    <w:basedOn w:val="Normalny"/>
    <w:rsid w:val="00E06F8F"/>
    <w:pPr>
      <w:suppressLineNumbers/>
    </w:pPr>
    <w:rPr>
      <w:rFonts w:cs="Tahoma"/>
    </w:rPr>
  </w:style>
  <w:style w:type="paragraph" w:customStyle="1" w:styleId="tekstost">
    <w:name w:val="tekst ost"/>
    <w:basedOn w:val="Normalny"/>
    <w:rsid w:val="00E06F8F"/>
  </w:style>
  <w:style w:type="paragraph" w:customStyle="1" w:styleId="test">
    <w:name w:val="test"/>
    <w:basedOn w:val="Normalny"/>
    <w:rsid w:val="00E06F8F"/>
    <w:pPr>
      <w:spacing w:line="360" w:lineRule="auto"/>
    </w:pPr>
    <w:rPr>
      <w:rFonts w:ascii="Arial" w:hAnsi="Arial"/>
    </w:rPr>
  </w:style>
  <w:style w:type="paragraph" w:customStyle="1" w:styleId="Standardowytekst">
    <w:name w:val="Standardowy.tekst"/>
    <w:rsid w:val="00E06F8F"/>
    <w:pPr>
      <w:suppressAutoHyphens/>
      <w:jc w:val="both"/>
    </w:pPr>
    <w:rPr>
      <w:kern w:val="1"/>
      <w:lang w:eastAsia="ar-SA"/>
    </w:rPr>
  </w:style>
  <w:style w:type="character" w:customStyle="1" w:styleId="podpunkt">
    <w:name w:val="podpunkt"/>
    <w:rsid w:val="00463F86"/>
    <w:rPr>
      <w:rFonts w:ascii="Times New Roman" w:hAnsi="Times New Roman"/>
      <w:b/>
    </w:rPr>
  </w:style>
  <w:style w:type="character" w:customStyle="1" w:styleId="NagwekZnak">
    <w:name w:val="Nagłówek Znak"/>
    <w:aliases w:val="Nagłówek strony Znak"/>
    <w:link w:val="Nagwek"/>
    <w:rsid w:val="0050198F"/>
    <w:rPr>
      <w:rFonts w:ascii="Arial" w:eastAsia="MS Mincho" w:hAnsi="Arial" w:cs="Tahoma"/>
      <w:kern w:val="1"/>
      <w:sz w:val="28"/>
      <w:szCs w:val="28"/>
    </w:rPr>
  </w:style>
  <w:style w:type="paragraph" w:customStyle="1" w:styleId="WW-BodyText212">
    <w:name w:val="WW-Body Text 212"/>
    <w:basedOn w:val="Normalny"/>
    <w:rsid w:val="00D6038D"/>
    <w:pPr>
      <w:spacing w:line="300" w:lineRule="exact"/>
    </w:pPr>
    <w:rPr>
      <w:rFonts w:ascii="Arial" w:hAnsi="Arial" w:cs="Arial"/>
      <w:sz w:val="22"/>
    </w:rPr>
  </w:style>
  <w:style w:type="paragraph" w:styleId="Bezodstpw">
    <w:name w:val="No Spacing"/>
    <w:link w:val="BezodstpwZnak"/>
    <w:uiPriority w:val="1"/>
    <w:qFormat/>
    <w:rsid w:val="0093338B"/>
    <w:pPr>
      <w:widowControl w:val="0"/>
      <w:suppressAutoHyphens/>
      <w:jc w:val="both"/>
    </w:pPr>
    <w:rPr>
      <w:sz w:val="24"/>
      <w:lang w:val="en-US" w:eastAsia="ar-SA"/>
    </w:rPr>
  </w:style>
  <w:style w:type="paragraph" w:styleId="Akapitzlist">
    <w:name w:val="List Paragraph"/>
    <w:basedOn w:val="Normalny"/>
    <w:qFormat/>
    <w:rsid w:val="00340C45"/>
    <w:pPr>
      <w:ind w:left="720"/>
      <w:contextualSpacing/>
    </w:pPr>
  </w:style>
  <w:style w:type="paragraph" w:customStyle="1" w:styleId="Paragraf1">
    <w:name w:val="Paragraf1"/>
    <w:basedOn w:val="Normalny"/>
    <w:rsid w:val="00BE383A"/>
    <w:pPr>
      <w:keepNext/>
      <w:widowControl/>
      <w:tabs>
        <w:tab w:val="left" w:pos="425"/>
        <w:tab w:val="left" w:pos="851"/>
        <w:tab w:val="left" w:pos="1276"/>
        <w:tab w:val="left" w:pos="1701"/>
        <w:tab w:val="left" w:pos="2126"/>
        <w:tab w:val="left" w:pos="2552"/>
        <w:tab w:val="left" w:pos="3402"/>
        <w:tab w:val="left" w:pos="6804"/>
        <w:tab w:val="left" w:pos="7655"/>
        <w:tab w:val="left" w:pos="8505"/>
      </w:tabs>
      <w:spacing w:before="120" w:after="180"/>
      <w:ind w:firstLine="340"/>
      <w:jc w:val="both"/>
    </w:pPr>
    <w:rPr>
      <w:rFonts w:eastAsia="Times New Roman"/>
      <w:kern w:val="0"/>
      <w:lang w:eastAsia="ar-SA"/>
    </w:rPr>
  </w:style>
  <w:style w:type="paragraph" w:customStyle="1" w:styleId="Tekstkomentarza1">
    <w:name w:val="Tekst komentarza1"/>
    <w:basedOn w:val="Normalny"/>
    <w:rsid w:val="00BE383A"/>
    <w:pPr>
      <w:jc w:val="both"/>
    </w:pPr>
    <w:rPr>
      <w:rFonts w:eastAsia="Times New Roman"/>
      <w:kern w:val="0"/>
      <w:sz w:val="20"/>
      <w:szCs w:val="20"/>
      <w:lang w:eastAsia="ar-SA"/>
    </w:rPr>
  </w:style>
  <w:style w:type="paragraph" w:customStyle="1" w:styleId="paragraf">
    <w:name w:val="paragraf"/>
    <w:basedOn w:val="Normalny"/>
    <w:rsid w:val="00BE383A"/>
    <w:pPr>
      <w:ind w:firstLine="339"/>
      <w:jc w:val="both"/>
    </w:pPr>
    <w:rPr>
      <w:rFonts w:eastAsia="Times New Roman"/>
      <w:b/>
      <w:kern w:val="0"/>
      <w:szCs w:val="20"/>
      <w:lang w:val="en-US" w:eastAsia="ar-SA"/>
    </w:rPr>
  </w:style>
  <w:style w:type="paragraph" w:styleId="Tekstpodstawowywcity">
    <w:name w:val="Body Text Indent"/>
    <w:basedOn w:val="Normalny"/>
    <w:link w:val="TekstpodstawowywcityZnak"/>
    <w:unhideWhenUsed/>
    <w:rsid w:val="00DB753A"/>
    <w:pPr>
      <w:spacing w:after="120"/>
      <w:ind w:left="283"/>
    </w:pPr>
  </w:style>
  <w:style w:type="character" w:customStyle="1" w:styleId="TekstpodstawowywcityZnak">
    <w:name w:val="Tekst podstawowy wcięty Znak"/>
    <w:basedOn w:val="Domylnaczcionkaakapitu"/>
    <w:link w:val="Tekstpodstawowywcity"/>
    <w:uiPriority w:val="99"/>
    <w:semiHidden/>
    <w:rsid w:val="00DB753A"/>
    <w:rPr>
      <w:rFonts w:eastAsia="Arial Unicode MS"/>
      <w:kern w:val="1"/>
      <w:sz w:val="24"/>
      <w:szCs w:val="24"/>
    </w:rPr>
  </w:style>
  <w:style w:type="character" w:customStyle="1" w:styleId="punkt">
    <w:name w:val="punkt"/>
    <w:rsid w:val="00DB753A"/>
    <w:rPr>
      <w:rFonts w:ascii="Times New Roman" w:hAnsi="Times New Roman" w:cs="Times New Roman"/>
      <w:b/>
      <w:sz w:val="28"/>
    </w:rPr>
  </w:style>
  <w:style w:type="character" w:styleId="Hipercze">
    <w:name w:val="Hyperlink"/>
    <w:rsid w:val="00DB753A"/>
    <w:rPr>
      <w:strike w:val="0"/>
      <w:dstrike w:val="0"/>
      <w:color w:val="1D3285"/>
      <w:u w:val="none"/>
    </w:rPr>
  </w:style>
  <w:style w:type="character" w:customStyle="1" w:styleId="StopkaZnak">
    <w:name w:val="Stopka Znak"/>
    <w:basedOn w:val="Domylnaczcionkaakapitu"/>
    <w:link w:val="Stopka"/>
    <w:uiPriority w:val="99"/>
    <w:rsid w:val="00DB753A"/>
    <w:rPr>
      <w:rFonts w:eastAsia="Arial Unicode MS"/>
      <w:kern w:val="1"/>
      <w:sz w:val="24"/>
      <w:szCs w:val="24"/>
    </w:rPr>
  </w:style>
  <w:style w:type="paragraph" w:customStyle="1" w:styleId="Tekstpodstawowywcity31">
    <w:name w:val="Tekst podstawowy wcięty 31"/>
    <w:basedOn w:val="Normalny"/>
    <w:rsid w:val="00DB753A"/>
    <w:pPr>
      <w:spacing w:after="120"/>
      <w:ind w:left="283"/>
    </w:pPr>
    <w:rPr>
      <w:rFonts w:eastAsia="Times New Roman"/>
      <w:kern w:val="0"/>
      <w:sz w:val="16"/>
      <w:szCs w:val="16"/>
      <w:lang w:val="en-US" w:eastAsia="ar-SA"/>
    </w:rPr>
  </w:style>
  <w:style w:type="paragraph" w:customStyle="1" w:styleId="StylIwony">
    <w:name w:val="Styl Iwony"/>
    <w:basedOn w:val="Normalny"/>
    <w:rsid w:val="00A21240"/>
    <w:pPr>
      <w:widowControl/>
      <w:overflowPunct w:val="0"/>
      <w:autoSpaceDE w:val="0"/>
      <w:spacing w:before="120" w:after="120"/>
      <w:jc w:val="both"/>
    </w:pPr>
    <w:rPr>
      <w:rFonts w:ascii="Bookman Old Style" w:eastAsia="Times New Roman" w:hAnsi="Bookman Old Style" w:cs="Bookman Old Style"/>
      <w:kern w:val="0"/>
      <w:szCs w:val="20"/>
      <w:lang w:eastAsia="ar-SA"/>
    </w:rPr>
  </w:style>
  <w:style w:type="character" w:customStyle="1" w:styleId="BezodstpwZnak">
    <w:name w:val="Bez odstępów Znak"/>
    <w:basedOn w:val="Domylnaczcionkaakapitu"/>
    <w:link w:val="Bezodstpw"/>
    <w:rsid w:val="00A21240"/>
    <w:rPr>
      <w:sz w:val="24"/>
      <w:lang w:val="en-US" w:eastAsia="ar-SA"/>
    </w:rPr>
  </w:style>
  <w:style w:type="paragraph" w:styleId="Tekstdymka">
    <w:name w:val="Balloon Text"/>
    <w:basedOn w:val="Normalny"/>
    <w:link w:val="TekstdymkaZnak"/>
    <w:uiPriority w:val="99"/>
    <w:unhideWhenUsed/>
    <w:rsid w:val="00A21240"/>
    <w:rPr>
      <w:rFonts w:ascii="Tahoma" w:hAnsi="Tahoma" w:cs="Tahoma"/>
      <w:sz w:val="16"/>
      <w:szCs w:val="16"/>
    </w:rPr>
  </w:style>
  <w:style w:type="character" w:customStyle="1" w:styleId="TekstdymkaZnak">
    <w:name w:val="Tekst dymka Znak"/>
    <w:basedOn w:val="Domylnaczcionkaakapitu"/>
    <w:link w:val="Tekstdymka"/>
    <w:uiPriority w:val="99"/>
    <w:semiHidden/>
    <w:rsid w:val="00A21240"/>
    <w:rPr>
      <w:rFonts w:ascii="Tahoma" w:eastAsia="Arial Unicode MS" w:hAnsi="Tahoma" w:cs="Tahoma"/>
      <w:kern w:val="1"/>
      <w:sz w:val="16"/>
      <w:szCs w:val="16"/>
    </w:rPr>
  </w:style>
  <w:style w:type="character" w:customStyle="1" w:styleId="WW8Num1z1">
    <w:name w:val="WW8Num1z1"/>
    <w:rsid w:val="00D972C1"/>
  </w:style>
  <w:style w:type="character" w:styleId="Numerstrony">
    <w:name w:val="page number"/>
    <w:basedOn w:val="Domylnaczcionkaakapitu1"/>
    <w:rsid w:val="00D972C1"/>
  </w:style>
  <w:style w:type="character" w:customStyle="1" w:styleId="WW8Num13z1">
    <w:name w:val="WW8Num13z1"/>
    <w:rsid w:val="00D972C1"/>
    <w:rPr>
      <w:rFonts w:ascii="Courier New" w:hAnsi="Courier New" w:cs="Courier New" w:hint="default"/>
    </w:rPr>
  </w:style>
  <w:style w:type="character" w:customStyle="1" w:styleId="WW8Num21z3">
    <w:name w:val="WW8Num21z3"/>
    <w:rsid w:val="00D972C1"/>
    <w:rPr>
      <w:rFonts w:ascii="Symbol" w:hAnsi="Symbol" w:cs="Symbol" w:hint="default"/>
    </w:rPr>
  </w:style>
  <w:style w:type="character" w:customStyle="1" w:styleId="WW8Num14z7">
    <w:name w:val="WW8Num14z7"/>
    <w:rsid w:val="00D972C1"/>
  </w:style>
  <w:style w:type="character" w:customStyle="1" w:styleId="Domylnaczcionkaakapitu1">
    <w:name w:val="Domyślna czcionka akapitu1"/>
    <w:rsid w:val="00D972C1"/>
  </w:style>
  <w:style w:type="character" w:customStyle="1" w:styleId="WW8Num14z6">
    <w:name w:val="WW8Num14z6"/>
    <w:rsid w:val="00D972C1"/>
  </w:style>
  <w:style w:type="character" w:customStyle="1" w:styleId="WW8Num2z0">
    <w:name w:val="WW8Num2z0"/>
    <w:rsid w:val="00D972C1"/>
    <w:rPr>
      <w:rFonts w:hint="default"/>
      <w:sz w:val="22"/>
      <w:szCs w:val="22"/>
      <w:u w:val="single"/>
    </w:rPr>
  </w:style>
  <w:style w:type="character" w:customStyle="1" w:styleId="WW8Num13z0">
    <w:name w:val="WW8Num13z0"/>
    <w:rsid w:val="00D972C1"/>
    <w:rPr>
      <w:rFonts w:ascii="Symbol" w:hAnsi="Symbol" w:cs="Symbol" w:hint="default"/>
    </w:rPr>
  </w:style>
  <w:style w:type="character" w:customStyle="1" w:styleId="WW8Num14z1">
    <w:name w:val="WW8Num14z1"/>
    <w:rsid w:val="00D972C1"/>
  </w:style>
  <w:style w:type="character" w:customStyle="1" w:styleId="WW8Num16z3">
    <w:name w:val="WW8Num16z3"/>
    <w:rsid w:val="00D972C1"/>
    <w:rPr>
      <w:rFonts w:ascii="Symbol" w:hAnsi="Symbol" w:cs="Symbol" w:hint="default"/>
    </w:rPr>
  </w:style>
  <w:style w:type="character" w:customStyle="1" w:styleId="WW8Num1z8">
    <w:name w:val="WW8Num1z8"/>
    <w:rsid w:val="00D972C1"/>
  </w:style>
  <w:style w:type="character" w:customStyle="1" w:styleId="WW8Num5z2">
    <w:name w:val="WW8Num5z2"/>
    <w:rsid w:val="00D972C1"/>
    <w:rPr>
      <w:rFonts w:ascii="Wingdings" w:hAnsi="Wingdings" w:cs="Wingdings" w:hint="default"/>
    </w:rPr>
  </w:style>
  <w:style w:type="character" w:customStyle="1" w:styleId="WW8Num1z0">
    <w:name w:val="WW8Num1z0"/>
    <w:rsid w:val="00D972C1"/>
  </w:style>
  <w:style w:type="character" w:customStyle="1" w:styleId="WW8Num5z0">
    <w:name w:val="WW8Num5z0"/>
    <w:rsid w:val="00D972C1"/>
    <w:rPr>
      <w:rFonts w:ascii="Symbol" w:hAnsi="Symbol" w:cs="Symbol" w:hint="default"/>
    </w:rPr>
  </w:style>
  <w:style w:type="character" w:customStyle="1" w:styleId="WW8Num3z6">
    <w:name w:val="WW8Num3z6"/>
    <w:rsid w:val="00D972C1"/>
  </w:style>
  <w:style w:type="character" w:customStyle="1" w:styleId="WW8Num21z1">
    <w:name w:val="WW8Num21z1"/>
    <w:rsid w:val="00D972C1"/>
    <w:rPr>
      <w:rFonts w:ascii="Courier New" w:hAnsi="Courier New" w:cs="Courier New" w:hint="default"/>
    </w:rPr>
  </w:style>
  <w:style w:type="character" w:customStyle="1" w:styleId="WW8Num17z2">
    <w:name w:val="WW8Num17z2"/>
    <w:rsid w:val="00D972C1"/>
    <w:rPr>
      <w:rFonts w:ascii="Wingdings" w:hAnsi="Wingdings" w:cs="Wingdings" w:hint="default"/>
    </w:rPr>
  </w:style>
  <w:style w:type="character" w:customStyle="1" w:styleId="WW8Num17z3">
    <w:name w:val="WW8Num17z3"/>
    <w:rsid w:val="00D972C1"/>
    <w:rPr>
      <w:rFonts w:ascii="Symbol" w:hAnsi="Symbol" w:cs="Symbol" w:hint="default"/>
    </w:rPr>
  </w:style>
  <w:style w:type="character" w:customStyle="1" w:styleId="WW8Num7z0">
    <w:name w:val="WW8Num7z0"/>
    <w:rsid w:val="00D972C1"/>
    <w:rPr>
      <w:rFonts w:hint="default"/>
    </w:rPr>
  </w:style>
  <w:style w:type="character" w:customStyle="1" w:styleId="WW8Num11z2">
    <w:name w:val="WW8Num11z2"/>
    <w:rsid w:val="00D972C1"/>
  </w:style>
  <w:style w:type="character" w:customStyle="1" w:styleId="WW8Num18z2">
    <w:name w:val="WW8Num18z2"/>
    <w:rsid w:val="00D972C1"/>
    <w:rPr>
      <w:rFonts w:ascii="Wingdings" w:hAnsi="Wingdings" w:cs="Wingdings" w:hint="default"/>
    </w:rPr>
  </w:style>
  <w:style w:type="character" w:customStyle="1" w:styleId="WW8Num3z3">
    <w:name w:val="WW8Num3z3"/>
    <w:rsid w:val="00D972C1"/>
    <w:rPr>
      <w:rFonts w:ascii="Symbol" w:hAnsi="Symbol" w:cs="Symbol" w:hint="default"/>
    </w:rPr>
  </w:style>
  <w:style w:type="character" w:customStyle="1" w:styleId="WW8Num11z4">
    <w:name w:val="WW8Num11z4"/>
    <w:rsid w:val="00D972C1"/>
  </w:style>
  <w:style w:type="character" w:customStyle="1" w:styleId="WW8Num14z3">
    <w:name w:val="WW8Num14z3"/>
    <w:rsid w:val="00D972C1"/>
  </w:style>
  <w:style w:type="character" w:customStyle="1" w:styleId="WW8Num8z3">
    <w:name w:val="WW8Num8z3"/>
    <w:rsid w:val="00D972C1"/>
    <w:rPr>
      <w:rFonts w:ascii="Symbol" w:hAnsi="Symbol" w:cs="Symbol" w:hint="default"/>
    </w:rPr>
  </w:style>
  <w:style w:type="character" w:customStyle="1" w:styleId="WW8Num1z5">
    <w:name w:val="WW8Num1z5"/>
    <w:rsid w:val="00D972C1"/>
  </w:style>
  <w:style w:type="character" w:customStyle="1" w:styleId="WW8Num14z0">
    <w:name w:val="WW8Num14z0"/>
    <w:rsid w:val="00D972C1"/>
    <w:rPr>
      <w:rFonts w:hint="default"/>
    </w:rPr>
  </w:style>
  <w:style w:type="character" w:customStyle="1" w:styleId="WW8Num17z0">
    <w:name w:val="WW8Num17z0"/>
    <w:rsid w:val="00D972C1"/>
    <w:rPr>
      <w:rFonts w:ascii="Courier New" w:hAnsi="Courier New" w:cs="Courier New" w:hint="default"/>
    </w:rPr>
  </w:style>
  <w:style w:type="character" w:customStyle="1" w:styleId="WW8Num16z0">
    <w:name w:val="WW8Num16z0"/>
    <w:rsid w:val="00D972C1"/>
    <w:rPr>
      <w:rFonts w:ascii="Symbol" w:hAnsi="Symbol" w:cs="Symbol" w:hint="default"/>
      <w:b w:val="0"/>
      <w:i w:val="0"/>
      <w:u w:val="none"/>
    </w:rPr>
  </w:style>
  <w:style w:type="character" w:customStyle="1" w:styleId="WW8Num4z0">
    <w:name w:val="WW8Num4z0"/>
    <w:rsid w:val="00D972C1"/>
    <w:rPr>
      <w:rFonts w:hint="default"/>
    </w:rPr>
  </w:style>
  <w:style w:type="character" w:customStyle="1" w:styleId="WW8Num3z7">
    <w:name w:val="WW8Num3z7"/>
    <w:rsid w:val="00D972C1"/>
  </w:style>
  <w:style w:type="character" w:customStyle="1" w:styleId="WW8Num3z0">
    <w:name w:val="WW8Num3z0"/>
    <w:rsid w:val="00D972C1"/>
    <w:rPr>
      <w:rFonts w:ascii="Symbol" w:hAnsi="Symbol" w:cs="Symbol" w:hint="default"/>
      <w:b w:val="0"/>
      <w:i w:val="0"/>
      <w:sz w:val="22"/>
      <w:szCs w:val="22"/>
      <w:u w:val="none"/>
    </w:rPr>
  </w:style>
  <w:style w:type="character" w:customStyle="1" w:styleId="WW8Num14z5">
    <w:name w:val="WW8Num14z5"/>
    <w:rsid w:val="00D972C1"/>
  </w:style>
  <w:style w:type="character" w:customStyle="1" w:styleId="WW8NumSt6z0">
    <w:name w:val="WW8NumSt6z0"/>
    <w:rsid w:val="00D972C1"/>
    <w:rPr>
      <w:rFonts w:ascii="Symbol" w:hAnsi="Symbol" w:cs="Symbol" w:hint="default"/>
      <w:sz w:val="20"/>
    </w:rPr>
  </w:style>
  <w:style w:type="character" w:customStyle="1" w:styleId="Domylnaczcionkaakapitu2">
    <w:name w:val="Domyślna czcionka akapitu2"/>
    <w:rsid w:val="00D972C1"/>
  </w:style>
  <w:style w:type="character" w:customStyle="1" w:styleId="WW8Num13z2">
    <w:name w:val="WW8Num13z2"/>
    <w:rsid w:val="00D972C1"/>
    <w:rPr>
      <w:rFonts w:ascii="Wingdings" w:hAnsi="Wingdings" w:cs="Wingdings" w:hint="default"/>
    </w:rPr>
  </w:style>
  <w:style w:type="character" w:customStyle="1" w:styleId="WW8Num1z2">
    <w:name w:val="WW8Num1z2"/>
    <w:rsid w:val="00D972C1"/>
  </w:style>
  <w:style w:type="character" w:customStyle="1" w:styleId="header1">
    <w:name w:val="header1"/>
    <w:rsid w:val="00D972C1"/>
    <w:rPr>
      <w:rFonts w:ascii="Times New Roman" w:hAnsi="Times New Roman" w:cs="Times New Roman"/>
      <w:b/>
      <w:sz w:val="36"/>
    </w:rPr>
  </w:style>
  <w:style w:type="character" w:customStyle="1" w:styleId="WW8Num1z3">
    <w:name w:val="WW8Num1z3"/>
    <w:rsid w:val="00D972C1"/>
  </w:style>
  <w:style w:type="character" w:customStyle="1" w:styleId="WW8Num10z0">
    <w:name w:val="WW8Num10z0"/>
    <w:rsid w:val="00D972C1"/>
  </w:style>
  <w:style w:type="character" w:customStyle="1" w:styleId="WW8Num8z2">
    <w:name w:val="WW8Num8z2"/>
    <w:rsid w:val="00D972C1"/>
    <w:rPr>
      <w:rFonts w:ascii="Wingdings" w:hAnsi="Wingdings" w:cs="Wingdings" w:hint="default"/>
    </w:rPr>
  </w:style>
  <w:style w:type="character" w:customStyle="1" w:styleId="WW8Num4z1">
    <w:name w:val="WW8Num4z1"/>
    <w:rsid w:val="00D972C1"/>
    <w:rPr>
      <w:rFonts w:hint="default"/>
      <w:sz w:val="24"/>
    </w:rPr>
  </w:style>
  <w:style w:type="character" w:customStyle="1" w:styleId="WW8Num3z2">
    <w:name w:val="WW8Num3z2"/>
    <w:rsid w:val="00D972C1"/>
    <w:rPr>
      <w:rFonts w:ascii="Wingdings" w:hAnsi="Wingdings" w:cs="Wingdings" w:hint="default"/>
    </w:rPr>
  </w:style>
  <w:style w:type="character" w:customStyle="1" w:styleId="tekstZnak">
    <w:name w:val="tekst Znak"/>
    <w:rsid w:val="00D972C1"/>
    <w:rPr>
      <w:rFonts w:eastAsia="Calibri"/>
      <w:sz w:val="26"/>
      <w:szCs w:val="26"/>
      <w:lang w:val="pl-PL" w:eastAsia="ar-SA" w:bidi="ar-SA"/>
    </w:rPr>
  </w:style>
  <w:style w:type="character" w:customStyle="1" w:styleId="WW8Num21z2">
    <w:name w:val="WW8Num21z2"/>
    <w:rsid w:val="00D972C1"/>
    <w:rPr>
      <w:rFonts w:ascii="Wingdings" w:hAnsi="Wingdings" w:cs="Wingdings" w:hint="default"/>
    </w:rPr>
  </w:style>
  <w:style w:type="character" w:customStyle="1" w:styleId="WW8Num14z2">
    <w:name w:val="WW8Num14z2"/>
    <w:rsid w:val="00D972C1"/>
  </w:style>
  <w:style w:type="character" w:customStyle="1" w:styleId="WW8Num1z4">
    <w:name w:val="WW8Num1z4"/>
    <w:rsid w:val="00D972C1"/>
  </w:style>
  <w:style w:type="character" w:customStyle="1" w:styleId="WW8Num11z1">
    <w:name w:val="WW8Num11z1"/>
    <w:rsid w:val="00D972C1"/>
    <w:rPr>
      <w:rFonts w:ascii="Symbol" w:hAnsi="Symbol" w:cs="Symbol" w:hint="default"/>
      <w:b w:val="0"/>
      <w:i w:val="0"/>
      <w:color w:val="auto"/>
      <w:sz w:val="24"/>
      <w:szCs w:val="24"/>
      <w:u w:val="none"/>
    </w:rPr>
  </w:style>
  <w:style w:type="character" w:customStyle="1" w:styleId="WW8Num14z8">
    <w:name w:val="WW8Num14z8"/>
    <w:rsid w:val="00D972C1"/>
  </w:style>
  <w:style w:type="character" w:customStyle="1" w:styleId="WW8Num8z1">
    <w:name w:val="WW8Num8z1"/>
    <w:rsid w:val="00D972C1"/>
    <w:rPr>
      <w:rFonts w:ascii="Courier New" w:hAnsi="Courier New" w:cs="Courier New" w:hint="default"/>
    </w:rPr>
  </w:style>
  <w:style w:type="character" w:customStyle="1" w:styleId="WW8Num5z1">
    <w:name w:val="WW8Num5z1"/>
    <w:rsid w:val="00D972C1"/>
    <w:rPr>
      <w:rFonts w:ascii="Courier New" w:hAnsi="Courier New" w:cs="Courier New" w:hint="default"/>
    </w:rPr>
  </w:style>
  <w:style w:type="character" w:customStyle="1" w:styleId="WW8Num3z4">
    <w:name w:val="WW8Num3z4"/>
    <w:rsid w:val="00D972C1"/>
  </w:style>
  <w:style w:type="character" w:customStyle="1" w:styleId="WW8Num1z6">
    <w:name w:val="WW8Num1z6"/>
    <w:rsid w:val="00D972C1"/>
  </w:style>
  <w:style w:type="character" w:customStyle="1" w:styleId="WW8Num18z0">
    <w:name w:val="WW8Num18z0"/>
    <w:rsid w:val="00D972C1"/>
    <w:rPr>
      <w:rFonts w:ascii="Courier New" w:hAnsi="Courier New" w:cs="Courier New" w:hint="default"/>
    </w:rPr>
  </w:style>
  <w:style w:type="character" w:customStyle="1" w:styleId="WW8Num11z3">
    <w:name w:val="WW8Num11z3"/>
    <w:rsid w:val="00D972C1"/>
  </w:style>
  <w:style w:type="character" w:customStyle="1" w:styleId="WW8Num15z0">
    <w:name w:val="WW8Num15z0"/>
    <w:rsid w:val="00D972C1"/>
  </w:style>
  <w:style w:type="character" w:customStyle="1" w:styleId="WW8Num8z0">
    <w:name w:val="WW8Num8z0"/>
    <w:rsid w:val="00D972C1"/>
    <w:rPr>
      <w:rFonts w:ascii="Symbol" w:hAnsi="Symbol" w:cs="Symbol" w:hint="default"/>
      <w:b w:val="0"/>
      <w:i w:val="0"/>
      <w:u w:val="none"/>
    </w:rPr>
  </w:style>
  <w:style w:type="character" w:customStyle="1" w:styleId="WW8Num2z2">
    <w:name w:val="WW8Num2z2"/>
    <w:rsid w:val="00D972C1"/>
    <w:rPr>
      <w:rFonts w:hint="default"/>
      <w:u w:val="none"/>
    </w:rPr>
  </w:style>
  <w:style w:type="character" w:customStyle="1" w:styleId="WW8Num3z5">
    <w:name w:val="WW8Num3z5"/>
    <w:rsid w:val="00D972C1"/>
  </w:style>
  <w:style w:type="character" w:customStyle="1" w:styleId="WW8Num1z7">
    <w:name w:val="WW8Num1z7"/>
    <w:rsid w:val="00D972C1"/>
  </w:style>
  <w:style w:type="character" w:customStyle="1" w:styleId="WW8Num16z2">
    <w:name w:val="WW8Num16z2"/>
    <w:rsid w:val="00D972C1"/>
    <w:rPr>
      <w:rFonts w:ascii="Wingdings" w:hAnsi="Wingdings" w:cs="Wingdings" w:hint="default"/>
    </w:rPr>
  </w:style>
  <w:style w:type="character" w:customStyle="1" w:styleId="WW8Num9z0">
    <w:name w:val="WW8Num9z0"/>
    <w:rsid w:val="00D972C1"/>
    <w:rPr>
      <w:rFonts w:hint="default"/>
    </w:rPr>
  </w:style>
  <w:style w:type="character" w:customStyle="1" w:styleId="WW8Num14z4">
    <w:name w:val="WW8Num14z4"/>
    <w:rsid w:val="00D972C1"/>
  </w:style>
  <w:style w:type="character" w:customStyle="1" w:styleId="WW8Num6z0">
    <w:name w:val="WW8Num6z0"/>
    <w:rsid w:val="00D972C1"/>
  </w:style>
  <w:style w:type="character" w:customStyle="1" w:styleId="WW8Num3z8">
    <w:name w:val="WW8Num3z8"/>
    <w:rsid w:val="00D972C1"/>
  </w:style>
  <w:style w:type="character" w:customStyle="1" w:styleId="WW8Num3z1">
    <w:name w:val="WW8Num3z1"/>
    <w:rsid w:val="00D972C1"/>
    <w:rPr>
      <w:rFonts w:ascii="Courier New" w:hAnsi="Courier New" w:cs="Courier New" w:hint="default"/>
      <w:sz w:val="22"/>
      <w:szCs w:val="22"/>
    </w:rPr>
  </w:style>
  <w:style w:type="character" w:customStyle="1" w:styleId="WW8Num18z3">
    <w:name w:val="WW8Num18z3"/>
    <w:rsid w:val="00D972C1"/>
    <w:rPr>
      <w:rFonts w:ascii="Symbol" w:hAnsi="Symbol" w:cs="Symbol" w:hint="default"/>
    </w:rPr>
  </w:style>
  <w:style w:type="character" w:customStyle="1" w:styleId="WW8Num11z5">
    <w:name w:val="WW8Num11z5"/>
    <w:rsid w:val="00D972C1"/>
  </w:style>
  <w:style w:type="character" w:customStyle="1" w:styleId="WW8Num19z0">
    <w:name w:val="WW8Num19z0"/>
    <w:rsid w:val="00D972C1"/>
    <w:rPr>
      <w:rFonts w:ascii="Symbol" w:hAnsi="Symbol" w:cs="Symbol" w:hint="default"/>
    </w:rPr>
  </w:style>
  <w:style w:type="character" w:customStyle="1" w:styleId="WW8Num11z6">
    <w:name w:val="WW8Num11z6"/>
    <w:rsid w:val="00D972C1"/>
  </w:style>
  <w:style w:type="character" w:customStyle="1" w:styleId="WW8Num20z0">
    <w:name w:val="WW8Num20z0"/>
    <w:rsid w:val="00D972C1"/>
    <w:rPr>
      <w:rFonts w:hint="default"/>
      <w:sz w:val="24"/>
    </w:rPr>
  </w:style>
  <w:style w:type="character" w:customStyle="1" w:styleId="WW8Num11z7">
    <w:name w:val="WW8Num11z7"/>
    <w:rsid w:val="00D972C1"/>
  </w:style>
  <w:style w:type="character" w:customStyle="1" w:styleId="WW8Num20z1">
    <w:name w:val="WW8Num20z1"/>
    <w:rsid w:val="00D972C1"/>
    <w:rPr>
      <w:rFonts w:hint="default"/>
      <w:sz w:val="22"/>
      <w:szCs w:val="22"/>
    </w:rPr>
  </w:style>
  <w:style w:type="character" w:customStyle="1" w:styleId="WW8Num11z8">
    <w:name w:val="WW8Num11z8"/>
    <w:rsid w:val="00D972C1"/>
  </w:style>
  <w:style w:type="character" w:customStyle="1" w:styleId="WW8Num16z1">
    <w:name w:val="WW8Num16z1"/>
    <w:rsid w:val="00D972C1"/>
    <w:rPr>
      <w:rFonts w:ascii="Courier New" w:hAnsi="Courier New" w:cs="Courier New" w:hint="default"/>
    </w:rPr>
  </w:style>
  <w:style w:type="character" w:customStyle="1" w:styleId="WW8Num12z0">
    <w:name w:val="WW8Num12z0"/>
    <w:rsid w:val="00D972C1"/>
    <w:rPr>
      <w:rFonts w:hint="default"/>
    </w:rPr>
  </w:style>
  <w:style w:type="character" w:customStyle="1" w:styleId="WW8Num21z0">
    <w:name w:val="WW8Num21z0"/>
    <w:rsid w:val="00D972C1"/>
    <w:rPr>
      <w:rFonts w:ascii="Symbol" w:hAnsi="Symbol" w:cs="Symbol" w:hint="default"/>
      <w:b w:val="0"/>
      <w:i w:val="0"/>
      <w:u w:val="none"/>
    </w:rPr>
  </w:style>
  <w:style w:type="character" w:customStyle="1" w:styleId="WW8Num12z1">
    <w:name w:val="WW8Num12z1"/>
    <w:rsid w:val="00D972C1"/>
    <w:rPr>
      <w:rFonts w:hint="default"/>
      <w:sz w:val="24"/>
    </w:rPr>
  </w:style>
  <w:style w:type="paragraph" w:customStyle="1" w:styleId="Podpis2">
    <w:name w:val="Podpis2"/>
    <w:basedOn w:val="Normalny"/>
    <w:rsid w:val="00D972C1"/>
    <w:pPr>
      <w:widowControl/>
      <w:suppressLineNumbers/>
      <w:spacing w:before="120" w:after="120"/>
      <w:jc w:val="both"/>
    </w:pPr>
    <w:rPr>
      <w:rFonts w:eastAsia="Times New Roman" w:cs="Mangal"/>
      <w:i/>
      <w:iCs/>
      <w:kern w:val="0"/>
      <w:lang w:eastAsia="ar-SA"/>
    </w:rPr>
  </w:style>
  <w:style w:type="paragraph" w:customStyle="1" w:styleId="Zawartotabeli">
    <w:name w:val="Zawartość tabeli"/>
    <w:basedOn w:val="Normalny"/>
    <w:rsid w:val="00D972C1"/>
    <w:pPr>
      <w:widowControl/>
      <w:suppressLineNumbers/>
      <w:spacing w:before="120"/>
      <w:jc w:val="both"/>
    </w:pPr>
    <w:rPr>
      <w:rFonts w:eastAsia="Times New Roman"/>
      <w:kern w:val="0"/>
      <w:lang w:eastAsia="ar-SA"/>
    </w:rPr>
  </w:style>
  <w:style w:type="paragraph" w:customStyle="1" w:styleId="Nagwek20">
    <w:name w:val="Nagłówek2"/>
    <w:basedOn w:val="Normalny"/>
    <w:next w:val="Tekstpodstawowy"/>
    <w:rsid w:val="00D972C1"/>
    <w:pPr>
      <w:keepNext/>
      <w:widowControl/>
      <w:spacing w:before="240" w:after="120"/>
      <w:jc w:val="both"/>
    </w:pPr>
    <w:rPr>
      <w:rFonts w:ascii="Arial" w:eastAsia="Microsoft YaHei" w:hAnsi="Arial" w:cs="Mangal"/>
      <w:kern w:val="0"/>
      <w:sz w:val="28"/>
      <w:szCs w:val="28"/>
      <w:lang w:eastAsia="ar-SA"/>
    </w:rPr>
  </w:style>
  <w:style w:type="paragraph" w:customStyle="1" w:styleId="Wzr">
    <w:name w:val="Wzór"/>
    <w:basedOn w:val="Normalny"/>
    <w:rsid w:val="00D972C1"/>
    <w:pPr>
      <w:widowControl/>
      <w:spacing w:after="120" w:line="240" w:lineRule="atLeast"/>
      <w:jc w:val="center"/>
    </w:pPr>
    <w:rPr>
      <w:rFonts w:eastAsia="Times New Roman"/>
      <w:kern w:val="0"/>
      <w:lang w:eastAsia="ar-SA"/>
    </w:rPr>
  </w:style>
  <w:style w:type="paragraph" w:customStyle="1" w:styleId="Nagwektabeli">
    <w:name w:val="Nagłówek tabeli"/>
    <w:basedOn w:val="Zawartotabeli"/>
    <w:rsid w:val="00D972C1"/>
    <w:pPr>
      <w:jc w:val="center"/>
    </w:pPr>
    <w:rPr>
      <w:b/>
      <w:bCs/>
    </w:rPr>
  </w:style>
  <w:style w:type="paragraph" w:customStyle="1" w:styleId="tekst">
    <w:name w:val="tekst"/>
    <w:basedOn w:val="Normalny"/>
    <w:rsid w:val="00D972C1"/>
    <w:pPr>
      <w:widowControl/>
      <w:spacing w:before="120" w:line="276" w:lineRule="auto"/>
      <w:jc w:val="both"/>
    </w:pPr>
    <w:rPr>
      <w:rFonts w:eastAsia="Calibri"/>
      <w:kern w:val="0"/>
      <w:sz w:val="26"/>
      <w:szCs w:val="26"/>
      <w:lang w:eastAsia="ar-SA"/>
    </w:rPr>
  </w:style>
  <w:style w:type="paragraph" w:customStyle="1" w:styleId="Tekstpodstawowy21">
    <w:name w:val="Tekst podstawowy 21"/>
    <w:basedOn w:val="Normalny"/>
    <w:rsid w:val="00D972C1"/>
    <w:pPr>
      <w:widowControl/>
      <w:spacing w:after="120" w:line="480" w:lineRule="auto"/>
      <w:jc w:val="both"/>
    </w:pPr>
    <w:rPr>
      <w:rFonts w:eastAsia="Times New Roman"/>
      <w:kern w:val="0"/>
      <w:lang w:eastAsia="ar-SA"/>
    </w:rPr>
  </w:style>
  <w:style w:type="paragraph" w:customStyle="1" w:styleId="redniasiatka21">
    <w:name w:val="Średnia siatka 21"/>
    <w:uiPriority w:val="99"/>
    <w:qFormat/>
    <w:rsid w:val="00D972C1"/>
    <w:pPr>
      <w:suppressAutoHyphens/>
    </w:pPr>
    <w:rPr>
      <w:sz w:val="24"/>
      <w:szCs w:val="24"/>
      <w:lang w:eastAsia="ar-SA"/>
    </w:rPr>
  </w:style>
  <w:style w:type="character" w:customStyle="1" w:styleId="Nagwek3Znak">
    <w:name w:val="Nagłówek 3 Znak"/>
    <w:link w:val="Nagwek3"/>
    <w:uiPriority w:val="1"/>
    <w:rsid w:val="00D972C1"/>
    <w:rPr>
      <w:rFonts w:eastAsia="Arial Unicode MS"/>
      <w:kern w:val="1"/>
      <w:sz w:val="24"/>
      <w:szCs w:val="24"/>
    </w:rPr>
  </w:style>
  <w:style w:type="numbering" w:customStyle="1" w:styleId="Bezlisty1">
    <w:name w:val="Bez listy1"/>
    <w:next w:val="Bezlisty"/>
    <w:uiPriority w:val="99"/>
    <w:semiHidden/>
    <w:unhideWhenUsed/>
    <w:rsid w:val="00D972C1"/>
  </w:style>
  <w:style w:type="table" w:customStyle="1" w:styleId="TableNormal">
    <w:name w:val="Table Normal"/>
    <w:uiPriority w:val="2"/>
    <w:semiHidden/>
    <w:unhideWhenUsed/>
    <w:qFormat/>
    <w:rsid w:val="00D972C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972C1"/>
    <w:pPr>
      <w:suppressAutoHyphens w:val="0"/>
      <w:autoSpaceDE w:val="0"/>
      <w:autoSpaceDN w:val="0"/>
      <w:spacing w:before="120"/>
      <w:jc w:val="both"/>
    </w:pPr>
    <w:rPr>
      <w:rFonts w:eastAsia="Times New Roman"/>
      <w:kern w:val="0"/>
      <w:sz w:val="22"/>
      <w:szCs w:val="22"/>
      <w:lang w:val="en-US" w:eastAsia="en-US"/>
    </w:rPr>
  </w:style>
  <w:style w:type="character" w:customStyle="1" w:styleId="biggertext">
    <w:name w:val="biggertext"/>
    <w:basedOn w:val="Domylnaczcionkaakapitu1"/>
    <w:rsid w:val="00D56900"/>
  </w:style>
  <w:style w:type="paragraph" w:customStyle="1" w:styleId="Style1">
    <w:name w:val="Style1"/>
    <w:basedOn w:val="Normalny"/>
    <w:uiPriority w:val="99"/>
    <w:rsid w:val="002F01E9"/>
    <w:pPr>
      <w:suppressAutoHyphens w:val="0"/>
      <w:autoSpaceDE w:val="0"/>
      <w:autoSpaceDN w:val="0"/>
      <w:adjustRightInd w:val="0"/>
      <w:spacing w:before="120" w:line="564" w:lineRule="exact"/>
      <w:jc w:val="both"/>
    </w:pPr>
    <w:rPr>
      <w:rFonts w:eastAsiaTheme="minorEastAsia" w:cs="Arial"/>
      <w:kern w:val="0"/>
    </w:rPr>
  </w:style>
  <w:style w:type="character" w:customStyle="1" w:styleId="FontStyle25">
    <w:name w:val="Font Style25"/>
    <w:basedOn w:val="Domylnaczcionkaakapitu"/>
    <w:uiPriority w:val="99"/>
    <w:rsid w:val="002F01E9"/>
    <w:rPr>
      <w:rFonts w:ascii="Arial" w:hAnsi="Arial" w:cs="Arial"/>
      <w:b/>
      <w:bCs/>
      <w:color w:val="000000"/>
      <w:sz w:val="26"/>
      <w:szCs w:val="26"/>
    </w:rPr>
  </w:style>
  <w:style w:type="character" w:customStyle="1" w:styleId="FontStyle32">
    <w:name w:val="Font Style32"/>
    <w:basedOn w:val="Domylnaczcionkaakapitu"/>
    <w:uiPriority w:val="99"/>
    <w:rsid w:val="002F01E9"/>
    <w:rPr>
      <w:rFonts w:ascii="Arial" w:hAnsi="Arial" w:cs="Arial"/>
      <w:b/>
      <w:bCs/>
      <w:color w:val="000000"/>
      <w:sz w:val="16"/>
      <w:szCs w:val="16"/>
    </w:rPr>
  </w:style>
  <w:style w:type="character" w:customStyle="1" w:styleId="FontStyle31">
    <w:name w:val="Font Style31"/>
    <w:basedOn w:val="Domylnaczcionkaakapitu"/>
    <w:uiPriority w:val="99"/>
    <w:rsid w:val="002F01E9"/>
    <w:rPr>
      <w:rFonts w:ascii="Arial" w:hAnsi="Arial" w:cs="Arial"/>
      <w:color w:val="000000"/>
      <w:sz w:val="16"/>
      <w:szCs w:val="16"/>
    </w:rPr>
  </w:style>
  <w:style w:type="paragraph" w:customStyle="1" w:styleId="Style6">
    <w:name w:val="Style6"/>
    <w:basedOn w:val="Normalny"/>
    <w:uiPriority w:val="99"/>
    <w:rsid w:val="002F01E9"/>
    <w:pPr>
      <w:suppressAutoHyphens w:val="0"/>
      <w:autoSpaceDE w:val="0"/>
      <w:autoSpaceDN w:val="0"/>
      <w:adjustRightInd w:val="0"/>
      <w:spacing w:before="120" w:line="209" w:lineRule="exact"/>
      <w:jc w:val="both"/>
    </w:pPr>
    <w:rPr>
      <w:rFonts w:eastAsiaTheme="minorEastAsia" w:cs="Arial"/>
      <w:kern w:val="0"/>
    </w:rPr>
  </w:style>
  <w:style w:type="paragraph" w:customStyle="1" w:styleId="Style8">
    <w:name w:val="Style8"/>
    <w:basedOn w:val="Normalny"/>
    <w:uiPriority w:val="99"/>
    <w:rsid w:val="002F01E9"/>
    <w:pPr>
      <w:suppressAutoHyphens w:val="0"/>
      <w:autoSpaceDE w:val="0"/>
      <w:autoSpaceDN w:val="0"/>
      <w:adjustRightInd w:val="0"/>
      <w:spacing w:before="120"/>
      <w:jc w:val="both"/>
    </w:pPr>
    <w:rPr>
      <w:rFonts w:eastAsiaTheme="minorEastAsia" w:cs="Arial"/>
      <w:kern w:val="0"/>
    </w:rPr>
  </w:style>
  <w:style w:type="paragraph" w:customStyle="1" w:styleId="Style9">
    <w:name w:val="Style9"/>
    <w:basedOn w:val="Normalny"/>
    <w:uiPriority w:val="99"/>
    <w:rsid w:val="002F01E9"/>
    <w:pPr>
      <w:suppressAutoHyphens w:val="0"/>
      <w:autoSpaceDE w:val="0"/>
      <w:autoSpaceDN w:val="0"/>
      <w:adjustRightInd w:val="0"/>
      <w:spacing w:before="120" w:line="206" w:lineRule="exact"/>
      <w:jc w:val="both"/>
    </w:pPr>
    <w:rPr>
      <w:rFonts w:eastAsiaTheme="minorEastAsia" w:cs="Arial"/>
      <w:kern w:val="0"/>
    </w:rPr>
  </w:style>
  <w:style w:type="paragraph" w:customStyle="1" w:styleId="Style18">
    <w:name w:val="Style18"/>
    <w:basedOn w:val="Normalny"/>
    <w:uiPriority w:val="99"/>
    <w:rsid w:val="002F01E9"/>
    <w:pPr>
      <w:suppressAutoHyphens w:val="0"/>
      <w:autoSpaceDE w:val="0"/>
      <w:autoSpaceDN w:val="0"/>
      <w:adjustRightInd w:val="0"/>
      <w:spacing w:before="120"/>
      <w:jc w:val="both"/>
    </w:pPr>
    <w:rPr>
      <w:rFonts w:eastAsiaTheme="minorEastAsia" w:cs="Arial"/>
      <w:kern w:val="0"/>
    </w:rPr>
  </w:style>
  <w:style w:type="paragraph" w:customStyle="1" w:styleId="Style10">
    <w:name w:val="Style10"/>
    <w:basedOn w:val="Normalny"/>
    <w:uiPriority w:val="99"/>
    <w:rsid w:val="002F01E9"/>
    <w:pPr>
      <w:suppressAutoHyphens w:val="0"/>
      <w:autoSpaceDE w:val="0"/>
      <w:autoSpaceDN w:val="0"/>
      <w:adjustRightInd w:val="0"/>
      <w:spacing w:before="120" w:line="206" w:lineRule="exact"/>
      <w:ind w:hanging="350"/>
      <w:jc w:val="both"/>
    </w:pPr>
    <w:rPr>
      <w:rFonts w:eastAsiaTheme="minorEastAsia" w:cs="Arial"/>
      <w:kern w:val="0"/>
    </w:rPr>
  </w:style>
  <w:style w:type="paragraph" w:customStyle="1" w:styleId="Style21">
    <w:name w:val="Style21"/>
    <w:basedOn w:val="Normalny"/>
    <w:uiPriority w:val="99"/>
    <w:rsid w:val="002F01E9"/>
    <w:pPr>
      <w:suppressAutoHyphens w:val="0"/>
      <w:autoSpaceDE w:val="0"/>
      <w:autoSpaceDN w:val="0"/>
      <w:adjustRightInd w:val="0"/>
      <w:spacing w:before="120"/>
      <w:jc w:val="center"/>
    </w:pPr>
    <w:rPr>
      <w:rFonts w:eastAsiaTheme="minorEastAsia" w:cs="Arial"/>
      <w:kern w:val="0"/>
    </w:rPr>
  </w:style>
  <w:style w:type="character" w:customStyle="1" w:styleId="Nagwek2Znak">
    <w:name w:val="Nagłówek 2 Znak"/>
    <w:basedOn w:val="Domylnaczcionkaakapitu"/>
    <w:link w:val="Nagwek2"/>
    <w:uiPriority w:val="1"/>
    <w:rsid w:val="002F01E9"/>
    <w:rPr>
      <w:rFonts w:eastAsia="Arial Unicode MS"/>
      <w:b/>
      <w:kern w:val="1"/>
      <w:sz w:val="24"/>
      <w:szCs w:val="24"/>
    </w:rPr>
  </w:style>
  <w:style w:type="character" w:customStyle="1" w:styleId="TekstpodstawowyZnak">
    <w:name w:val="Tekst podstawowy Znak"/>
    <w:basedOn w:val="Domylnaczcionkaakapitu"/>
    <w:link w:val="Tekstpodstawowy"/>
    <w:rsid w:val="002F01E9"/>
    <w:rPr>
      <w:rFonts w:eastAsia="Arial Unicode MS"/>
      <w:kern w:val="1"/>
      <w:sz w:val="24"/>
      <w:szCs w:val="24"/>
    </w:rPr>
  </w:style>
  <w:style w:type="character" w:customStyle="1" w:styleId="Nagwek1Znak">
    <w:name w:val="Nagłówek 1 Znak"/>
    <w:basedOn w:val="Domylnaczcionkaakapitu"/>
    <w:link w:val="Nagwek1"/>
    <w:uiPriority w:val="1"/>
    <w:rsid w:val="002F01E9"/>
    <w:rPr>
      <w:rFonts w:eastAsia="Arial"/>
      <w:b/>
      <w:caps/>
      <w:kern w:val="1"/>
      <w:sz w:val="24"/>
      <w:szCs w:val="24"/>
    </w:rPr>
  </w:style>
  <w:style w:type="numbering" w:customStyle="1" w:styleId="Bezlisty2">
    <w:name w:val="Bez listy2"/>
    <w:next w:val="Bezlisty"/>
    <w:uiPriority w:val="99"/>
    <w:semiHidden/>
    <w:unhideWhenUsed/>
    <w:rsid w:val="00AD1C27"/>
  </w:style>
  <w:style w:type="paragraph" w:styleId="Wcicienormalne">
    <w:name w:val="Normal Indent"/>
    <w:basedOn w:val="Normalny"/>
    <w:rsid w:val="00AD1C27"/>
    <w:pPr>
      <w:widowControl/>
      <w:suppressAutoHyphens w:val="0"/>
      <w:spacing w:before="120" w:after="120"/>
      <w:ind w:left="720"/>
      <w:jc w:val="both"/>
    </w:pPr>
    <w:rPr>
      <w:rFonts w:eastAsia="Times New Roman"/>
      <w:kern w:val="0"/>
      <w:szCs w:val="20"/>
    </w:rPr>
  </w:style>
  <w:style w:type="paragraph" w:customStyle="1" w:styleId="Default">
    <w:name w:val="Default"/>
    <w:rsid w:val="009830EC"/>
    <w:pPr>
      <w:autoSpaceDE w:val="0"/>
      <w:autoSpaceDN w:val="0"/>
      <w:adjustRightInd w:val="0"/>
    </w:pPr>
    <w:rPr>
      <w:rFonts w:ascii="Arial" w:eastAsiaTheme="minorHAnsi"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9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04806-7C8C-4DA8-82DE-659031A1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18</Pages>
  <Words>6415</Words>
  <Characters>38492</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Rufin Jarka</dc:creator>
  <cp:lastModifiedBy>User</cp:lastModifiedBy>
  <cp:revision>32</cp:revision>
  <cp:lastPrinted>2008-11-04T16:51:00Z</cp:lastPrinted>
  <dcterms:created xsi:type="dcterms:W3CDTF">2020-09-25T12:16:00Z</dcterms:created>
  <dcterms:modified xsi:type="dcterms:W3CDTF">2026-04-02T07:40:00Z</dcterms:modified>
</cp:coreProperties>
</file>